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D5E4" w14:textId="439632C9" w:rsidR="00EB0EE1" w:rsidRDefault="00EB0EE1" w:rsidP="00CE5AC1">
      <w:pPr>
        <w:rPr>
          <w:b/>
          <w:bCs/>
          <w:lang w:val="en-CA"/>
        </w:rPr>
      </w:pPr>
    </w:p>
    <w:p w14:paraId="7427221B" w14:textId="59DFE0AE" w:rsidR="00EB0EE1" w:rsidRPr="00EB0EE1" w:rsidRDefault="004540AC" w:rsidP="00CE5AC1">
      <w:pPr>
        <w:rPr>
          <w:bCs/>
          <w:lang w:val="en-CA"/>
        </w:rPr>
      </w:pPr>
      <w:r w:rsidRPr="004540AC">
        <w:rPr>
          <w:b/>
          <w:bCs/>
          <w:u w:val="single"/>
          <w:lang w:val="en-CA"/>
        </w:rPr>
        <w:t>Scope:</w:t>
      </w:r>
      <w:r>
        <w:rPr>
          <w:bCs/>
          <w:lang w:val="en-CA"/>
        </w:rPr>
        <w:t xml:space="preserve"> </w:t>
      </w:r>
      <w:r w:rsidR="00EB0EE1">
        <w:rPr>
          <w:bCs/>
          <w:lang w:val="en-CA"/>
        </w:rPr>
        <w:t>Proposals for in</w:t>
      </w:r>
      <w:r w:rsidR="00475EA1">
        <w:rPr>
          <w:bCs/>
          <w:lang w:val="en-CA"/>
        </w:rPr>
        <w:t>-person academic</w:t>
      </w:r>
      <w:r w:rsidR="00EB0EE1">
        <w:rPr>
          <w:bCs/>
          <w:lang w:val="en-CA"/>
        </w:rPr>
        <w:t xml:space="preserve"> activities</w:t>
      </w:r>
      <w:r w:rsidR="00475EA1">
        <w:rPr>
          <w:bCs/>
          <w:lang w:val="en-CA"/>
        </w:rPr>
        <w:t xml:space="preserve"> for students (i.e., </w:t>
      </w:r>
      <w:r w:rsidR="00EB0EE1">
        <w:rPr>
          <w:bCs/>
          <w:lang w:val="en-CA"/>
        </w:rPr>
        <w:t>other than research</w:t>
      </w:r>
      <w:r w:rsidR="00475EA1">
        <w:rPr>
          <w:bCs/>
          <w:lang w:val="en-CA"/>
        </w:rPr>
        <w:t>)</w:t>
      </w:r>
      <w:r w:rsidR="00EB0EE1">
        <w:rPr>
          <w:bCs/>
          <w:lang w:val="en-CA"/>
        </w:rPr>
        <w:t xml:space="preserve"> require approval from the Academic Planning Executive Committee (APEC)</w:t>
      </w:r>
      <w:r w:rsidR="00475EA1">
        <w:rPr>
          <w:bCs/>
          <w:lang w:val="en-CA"/>
        </w:rPr>
        <w:t xml:space="preserve">. This committee considers the </w:t>
      </w:r>
      <w:r w:rsidR="00EB0EE1">
        <w:rPr>
          <w:bCs/>
          <w:lang w:val="en-CA"/>
        </w:rPr>
        <w:t xml:space="preserve">academic </w:t>
      </w:r>
      <w:r w:rsidR="00475EA1">
        <w:rPr>
          <w:bCs/>
          <w:lang w:val="en-CA"/>
        </w:rPr>
        <w:t>importance of the activity</w:t>
      </w:r>
      <w:r w:rsidR="00EB0EE1">
        <w:rPr>
          <w:bCs/>
          <w:lang w:val="en-CA"/>
        </w:rPr>
        <w:t xml:space="preserve"> and prioritization before being forwarded to the Emergency Operation Centre (EOC) for</w:t>
      </w:r>
      <w:r>
        <w:rPr>
          <w:bCs/>
          <w:lang w:val="en-CA"/>
        </w:rPr>
        <w:t xml:space="preserve"> assessment, logistics, and</w:t>
      </w:r>
      <w:r w:rsidR="00EB0EE1">
        <w:rPr>
          <w:bCs/>
          <w:lang w:val="en-CA"/>
        </w:rPr>
        <w:t xml:space="preserve"> operational approval. </w:t>
      </w:r>
      <w:r w:rsidR="00EB0EE1" w:rsidRPr="00EB0EE1">
        <w:rPr>
          <w:bCs/>
          <w:lang w:val="en-CA"/>
        </w:rPr>
        <w:t xml:space="preserve">As defined by the </w:t>
      </w:r>
      <w:hyperlink r:id="rId10" w:history="1">
        <w:r w:rsidR="00EB0EE1" w:rsidRPr="00EB0EE1">
          <w:rPr>
            <w:rStyle w:val="Hyperlink"/>
            <w:bCs/>
            <w:lang w:val="en-CA"/>
          </w:rPr>
          <w:t>Emergency Operation Centre</w:t>
        </w:r>
      </w:hyperlink>
      <w:r w:rsidR="00EB0EE1" w:rsidRPr="00EB0EE1">
        <w:rPr>
          <w:bCs/>
          <w:lang w:val="en-CA"/>
        </w:rPr>
        <w:t xml:space="preserve">, </w:t>
      </w:r>
      <w:r w:rsidR="00EB0EE1">
        <w:rPr>
          <w:bCs/>
          <w:lang w:val="en-CA"/>
        </w:rPr>
        <w:t>in-</w:t>
      </w:r>
      <w:r w:rsidR="00EB0EE1" w:rsidRPr="00EB0EE1">
        <w:rPr>
          <w:bCs/>
          <w:lang w:val="en-CA"/>
        </w:rPr>
        <w:t xml:space="preserve">person “teaching” activities are situations where both instructors and learner would be physically present in the same space. More generally, in-person ‘academic activities’ requiring approval from the </w:t>
      </w:r>
      <w:r w:rsidR="00475EA1">
        <w:rPr>
          <w:bCs/>
          <w:lang w:val="en-CA"/>
        </w:rPr>
        <w:t>APEC</w:t>
      </w:r>
      <w:r w:rsidR="00EB0EE1" w:rsidRPr="00EB0EE1">
        <w:rPr>
          <w:bCs/>
          <w:lang w:val="en-CA"/>
        </w:rPr>
        <w:t xml:space="preserve"> include activities that are curricular, connected directly to a course, and are directly part of a student’s academic program</w:t>
      </w:r>
      <w:r w:rsidR="00EB0EE1">
        <w:rPr>
          <w:bCs/>
          <w:lang w:val="en-CA"/>
        </w:rPr>
        <w:t xml:space="preserve">. Examples include </w:t>
      </w:r>
      <w:r w:rsidR="00EB0EE1" w:rsidRPr="00EB0EE1">
        <w:rPr>
          <w:bCs/>
          <w:lang w:val="en-CA"/>
        </w:rPr>
        <w:t xml:space="preserve">guest lectures in courses, student presentation, graduate student comprehensive or PhD examinations, </w:t>
      </w:r>
      <w:r w:rsidR="00EB0EE1">
        <w:rPr>
          <w:bCs/>
          <w:lang w:val="en-CA"/>
        </w:rPr>
        <w:t xml:space="preserve">and </w:t>
      </w:r>
      <w:r w:rsidR="00697F82">
        <w:rPr>
          <w:bCs/>
          <w:lang w:val="en-CA"/>
        </w:rPr>
        <w:t xml:space="preserve">in-person tests or </w:t>
      </w:r>
      <w:r w:rsidR="00EB0EE1">
        <w:rPr>
          <w:bCs/>
          <w:lang w:val="en-CA"/>
        </w:rPr>
        <w:t>examinations. Internships/Stages</w:t>
      </w:r>
      <w:r w:rsidR="00475EA1">
        <w:rPr>
          <w:bCs/>
          <w:lang w:val="en-CA"/>
        </w:rPr>
        <w:t xml:space="preserve"> for students,</w:t>
      </w:r>
      <w:r w:rsidR="00EB0EE1">
        <w:rPr>
          <w:bCs/>
          <w:lang w:val="en-CA"/>
        </w:rPr>
        <w:t xml:space="preserve"> or situations where an instructor is proposing teaching activities off-site from McGill are also captured by this definition. Other activities (e.g., extra-curricular opportunities, events,</w:t>
      </w:r>
      <w:r>
        <w:rPr>
          <w:bCs/>
          <w:lang w:val="en-CA"/>
        </w:rPr>
        <w:t xml:space="preserve"> </w:t>
      </w:r>
      <w:r w:rsidR="00697F82">
        <w:rPr>
          <w:bCs/>
          <w:lang w:val="en-CA"/>
        </w:rPr>
        <w:t xml:space="preserve">workshops, </w:t>
      </w:r>
      <w:r>
        <w:rPr>
          <w:bCs/>
          <w:lang w:val="en-CA"/>
        </w:rPr>
        <w:t>clubs/activities</w:t>
      </w:r>
      <w:r w:rsidR="00EB0EE1">
        <w:rPr>
          <w:bCs/>
          <w:lang w:val="en-CA"/>
        </w:rPr>
        <w:t xml:space="preserve">) fall under the definition of ‘other on-campus </w:t>
      </w:r>
      <w:r>
        <w:rPr>
          <w:bCs/>
          <w:lang w:val="en-CA"/>
        </w:rPr>
        <w:t>activities’</w:t>
      </w:r>
      <w:r w:rsidR="00EB0EE1">
        <w:rPr>
          <w:bCs/>
          <w:lang w:val="en-CA"/>
        </w:rPr>
        <w:t xml:space="preserve"> and have a different approval pathway, defined </w:t>
      </w:r>
      <w:hyperlink r:id="rId11" w:history="1">
        <w:r w:rsidR="00EB0EE1" w:rsidRPr="00EB0EE1">
          <w:rPr>
            <w:rStyle w:val="Hyperlink"/>
            <w:bCs/>
            <w:lang w:val="en-CA"/>
          </w:rPr>
          <w:t>here</w:t>
        </w:r>
      </w:hyperlink>
      <w:r w:rsidR="00EB0EE1">
        <w:rPr>
          <w:bCs/>
          <w:lang w:val="en-CA"/>
        </w:rPr>
        <w:t xml:space="preserve">. </w:t>
      </w:r>
    </w:p>
    <w:p w14:paraId="5AF3F86A" w14:textId="77777777" w:rsidR="00EB0EE1" w:rsidRDefault="00EB0EE1" w:rsidP="00CE5AC1">
      <w:pPr>
        <w:rPr>
          <w:b/>
          <w:bCs/>
          <w:lang w:val="en-CA"/>
        </w:rPr>
      </w:pPr>
    </w:p>
    <w:p w14:paraId="37A9F9E8" w14:textId="1B30F431" w:rsidR="00604EEC" w:rsidRPr="00AD3086" w:rsidRDefault="007F3C88" w:rsidP="00CE5AC1">
      <w:pPr>
        <w:rPr>
          <w:b/>
          <w:bCs/>
          <w:lang w:val="en-CA"/>
        </w:rPr>
      </w:pPr>
      <w:r w:rsidRPr="00012922">
        <w:rPr>
          <w:b/>
          <w:bCs/>
          <w:lang w:val="en-CA"/>
        </w:rPr>
        <w:t xml:space="preserve">Explanation of </w:t>
      </w:r>
      <w:r w:rsidR="00012922" w:rsidRPr="00012922">
        <w:rPr>
          <w:b/>
          <w:bCs/>
          <w:lang w:val="en-CA"/>
        </w:rPr>
        <w:t xml:space="preserve">in-person </w:t>
      </w:r>
      <w:r w:rsidRPr="00012922">
        <w:rPr>
          <w:b/>
          <w:bCs/>
          <w:lang w:val="en-CA"/>
        </w:rPr>
        <w:t xml:space="preserve">academic activity </w:t>
      </w:r>
      <w:r w:rsidR="00AD3086">
        <w:rPr>
          <w:b/>
          <w:bCs/>
          <w:lang w:val="en-CA"/>
        </w:rPr>
        <w:t>(</w:t>
      </w:r>
      <w:r w:rsidR="00A052EE" w:rsidRPr="00012922">
        <w:rPr>
          <w:b/>
          <w:bCs/>
          <w:lang w:val="en-CA"/>
        </w:rPr>
        <w:t xml:space="preserve">Activity/Course name, </w:t>
      </w:r>
      <w:r w:rsidR="00502522" w:rsidRPr="00012922">
        <w:rPr>
          <w:b/>
          <w:bCs/>
          <w:lang w:val="en-CA"/>
        </w:rPr>
        <w:t>Department/Unit,</w:t>
      </w:r>
      <w:r w:rsidR="00012922" w:rsidRPr="00012922">
        <w:rPr>
          <w:b/>
          <w:bCs/>
          <w:lang w:val="en-CA"/>
        </w:rPr>
        <w:t xml:space="preserve"> </w:t>
      </w:r>
      <w:r w:rsidR="00AD3086">
        <w:rPr>
          <w:b/>
          <w:bCs/>
          <w:lang w:val="en-CA"/>
        </w:rPr>
        <w:t>d</w:t>
      </w:r>
      <w:r w:rsidR="00012922" w:rsidRPr="00012922">
        <w:rPr>
          <w:b/>
          <w:bCs/>
          <w:lang w:val="en-CA"/>
        </w:rPr>
        <w:t>escription,</w:t>
      </w:r>
      <w:r w:rsidR="00502522" w:rsidRPr="00012922">
        <w:rPr>
          <w:b/>
          <w:bCs/>
          <w:lang w:val="en-CA"/>
        </w:rPr>
        <w:t xml:space="preserve"> </w:t>
      </w:r>
      <w:r w:rsidR="00C2432A" w:rsidRPr="00012922">
        <w:rPr>
          <w:b/>
          <w:bCs/>
          <w:lang w:val="en-CA"/>
        </w:rPr>
        <w:t>e</w:t>
      </w:r>
      <w:r w:rsidR="000E552F" w:rsidRPr="00012922">
        <w:rPr>
          <w:b/>
          <w:bCs/>
          <w:lang w:val="en-CA"/>
        </w:rPr>
        <w:t>xpected enrollment</w:t>
      </w:r>
      <w:r w:rsidR="00AD3086">
        <w:rPr>
          <w:b/>
          <w:bCs/>
          <w:lang w:val="en-CA"/>
        </w:rPr>
        <w:t>)</w:t>
      </w:r>
      <w:r w:rsidR="00502522" w:rsidRPr="00502522">
        <w:rPr>
          <w:b/>
          <w:bCs/>
          <w:lang w:val="en-CA"/>
        </w:rPr>
        <w:t>:</w:t>
      </w:r>
    </w:p>
    <w:p w14:paraId="3D3CD598" w14:textId="7BDFAD2D" w:rsidR="00502522" w:rsidRDefault="00502522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4F038172" w14:textId="65B6DA42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32DFF79C" w14:textId="1055ED67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4B814A94" w14:textId="77777777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57243DBD" w14:textId="068E2696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166AFBE5" w14:textId="77777777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0BE3202E" w14:textId="77777777" w:rsidR="00012922" w:rsidRDefault="00012922" w:rsidP="00012922">
      <w:pPr>
        <w:rPr>
          <w:b/>
          <w:bCs/>
          <w:lang w:val="en-CA"/>
        </w:rPr>
      </w:pPr>
    </w:p>
    <w:p w14:paraId="408DF214" w14:textId="5260B5B0" w:rsidR="00012922" w:rsidRPr="00AD3086" w:rsidRDefault="00012922" w:rsidP="00012922">
      <w:pPr>
        <w:rPr>
          <w:b/>
          <w:bCs/>
          <w:lang w:val="en-CA"/>
        </w:rPr>
      </w:pPr>
      <w:r>
        <w:rPr>
          <w:b/>
          <w:bCs/>
          <w:lang w:val="en-CA"/>
        </w:rPr>
        <w:t>Rationale for the activity occurring in-person</w:t>
      </w:r>
      <w:r w:rsidRPr="00502522">
        <w:rPr>
          <w:b/>
          <w:bCs/>
          <w:lang w:val="en-CA"/>
        </w:rPr>
        <w:t>:</w:t>
      </w:r>
    </w:p>
    <w:p w14:paraId="208CAF07" w14:textId="77777777" w:rsidR="00012922" w:rsidRDefault="00012922" w:rsidP="0001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50235724" w14:textId="77777777" w:rsidR="00012922" w:rsidRDefault="00012922" w:rsidP="0001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76D2D15F" w14:textId="77777777" w:rsidR="00012922" w:rsidRDefault="00012922" w:rsidP="0001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10B72CCA" w14:textId="77777777" w:rsidR="00012922" w:rsidRDefault="00012922" w:rsidP="0001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5E3DFDD9" w14:textId="77777777" w:rsidR="00012922" w:rsidRDefault="00012922" w:rsidP="0001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0B405E14" w14:textId="77777777" w:rsidR="00012922" w:rsidRDefault="00012922" w:rsidP="0001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4F33A6B7" w14:textId="77777777" w:rsidR="00BA4661" w:rsidRDefault="00BA4661" w:rsidP="00C2432A">
      <w:pPr>
        <w:rPr>
          <w:b/>
          <w:bCs/>
          <w:lang w:val="en-CA"/>
        </w:rPr>
      </w:pPr>
    </w:p>
    <w:p w14:paraId="43B4AFC6" w14:textId="79CD1EC6" w:rsidR="00604EEC" w:rsidRDefault="007F3C88" w:rsidP="00C2432A">
      <w:pPr>
        <w:rPr>
          <w:b/>
          <w:bCs/>
          <w:lang w:val="en-CA"/>
        </w:rPr>
      </w:pPr>
      <w:r>
        <w:rPr>
          <w:b/>
          <w:bCs/>
          <w:lang w:val="en-CA"/>
        </w:rPr>
        <w:t>Space and scheduling</w:t>
      </w:r>
      <w:r w:rsidR="00AD3086">
        <w:rPr>
          <w:b/>
          <w:bCs/>
          <w:lang w:val="en-CA"/>
        </w:rPr>
        <w:t xml:space="preserve"> details</w:t>
      </w:r>
      <w:r>
        <w:rPr>
          <w:b/>
          <w:bCs/>
          <w:lang w:val="en-CA"/>
        </w:rPr>
        <w:t>: date(s), proposed space including room locatio</w:t>
      </w:r>
      <w:r w:rsidR="00475EA1">
        <w:rPr>
          <w:b/>
          <w:bCs/>
          <w:lang w:val="en-CA"/>
        </w:rPr>
        <w:t>n (p</w:t>
      </w:r>
      <w:r>
        <w:rPr>
          <w:b/>
          <w:bCs/>
          <w:lang w:val="en-CA"/>
        </w:rPr>
        <w:t>lease indicate if activity must occur in the proposed space or whether there is flexibility</w:t>
      </w:r>
      <w:r w:rsidR="00475EA1">
        <w:rPr>
          <w:b/>
          <w:bCs/>
          <w:lang w:val="en-CA"/>
        </w:rPr>
        <w:t>)</w:t>
      </w:r>
    </w:p>
    <w:p w14:paraId="1A32CC75" w14:textId="75E19DDE" w:rsidR="00C2432A" w:rsidRDefault="00C2432A" w:rsidP="00C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6B723340" w14:textId="5A4B26B6" w:rsidR="0079792A" w:rsidRDefault="0079792A" w:rsidP="00C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101907F6" w14:textId="366EEFFA" w:rsidR="0079792A" w:rsidRDefault="0079792A" w:rsidP="00C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58F91280" w14:textId="48DB91E1" w:rsidR="0079792A" w:rsidRDefault="0079792A" w:rsidP="00C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2A783A02" w14:textId="77777777" w:rsidR="0079792A" w:rsidRDefault="0079792A" w:rsidP="00C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4D8D31E9" w14:textId="048A4482" w:rsidR="0079792A" w:rsidRDefault="0079792A" w:rsidP="00C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4772EB18" w14:textId="77777777" w:rsidR="0079792A" w:rsidRDefault="0079792A" w:rsidP="00C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42E7950D" w14:textId="0448C4A0" w:rsidR="00502522" w:rsidRDefault="00502522" w:rsidP="00CE5AC1">
      <w:pPr>
        <w:rPr>
          <w:b/>
          <w:bCs/>
          <w:u w:val="single"/>
          <w:lang w:val="en-CA"/>
        </w:rPr>
      </w:pPr>
    </w:p>
    <w:p w14:paraId="76ABF2D5" w14:textId="670DB491" w:rsidR="007F3C88" w:rsidRPr="007F3C88" w:rsidRDefault="007F3C88" w:rsidP="00CE5AC1">
      <w:pPr>
        <w:rPr>
          <w:b/>
          <w:bCs/>
          <w:lang w:val="en-CA"/>
        </w:rPr>
      </w:pPr>
      <w:r w:rsidRPr="007F3C88">
        <w:rPr>
          <w:b/>
          <w:bCs/>
          <w:lang w:val="en-CA"/>
        </w:rPr>
        <w:lastRenderedPageBreak/>
        <w:t>Instructor</w:t>
      </w:r>
      <w:r w:rsidR="00012922">
        <w:rPr>
          <w:b/>
          <w:bCs/>
          <w:lang w:val="en-CA"/>
        </w:rPr>
        <w:t>/</w:t>
      </w:r>
      <w:r>
        <w:rPr>
          <w:b/>
          <w:bCs/>
          <w:lang w:val="en-CA"/>
        </w:rPr>
        <w:t>contact person (name/coordinates,</w:t>
      </w:r>
      <w:r w:rsidRPr="007F3C88">
        <w:rPr>
          <w:b/>
          <w:bCs/>
          <w:lang w:val="en-CA"/>
        </w:rPr>
        <w:t xml:space="preserve"> details)</w:t>
      </w:r>
    </w:p>
    <w:p w14:paraId="418E819F" w14:textId="6748B6C5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6B98A09F" w14:textId="4FCE6724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348A0374" w14:textId="4D39A5DF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71701BA8" w14:textId="77777777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0E074EA4" w14:textId="6EE0D61B" w:rsidR="007C110E" w:rsidRDefault="007C110E" w:rsidP="00CE5AC1">
      <w:pPr>
        <w:rPr>
          <w:b/>
          <w:bCs/>
          <w:u w:val="single"/>
          <w:lang w:val="en-CA"/>
        </w:rPr>
      </w:pPr>
    </w:p>
    <w:p w14:paraId="0EAACDAA" w14:textId="50F892D0" w:rsidR="00BA4661" w:rsidRPr="007F3C88" w:rsidRDefault="00BA4661" w:rsidP="00BA4661">
      <w:pPr>
        <w:rPr>
          <w:b/>
          <w:bCs/>
          <w:lang w:val="en-CA"/>
        </w:rPr>
      </w:pPr>
      <w:r>
        <w:rPr>
          <w:b/>
          <w:bCs/>
          <w:lang w:val="en-CA"/>
        </w:rPr>
        <w:t>Other comments:</w:t>
      </w:r>
    </w:p>
    <w:p w14:paraId="49A0A6AF" w14:textId="3CE66A72" w:rsidR="00BA4661" w:rsidRDefault="00BA4661" w:rsidP="00BA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6E8E78E5" w14:textId="01DDEB80" w:rsidR="00475EA1" w:rsidRDefault="00475EA1" w:rsidP="00BA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39A02FF8" w14:textId="77777777" w:rsidR="00475EA1" w:rsidRDefault="00475EA1" w:rsidP="00BA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6C577BFD" w14:textId="07FE597B" w:rsidR="00BA4661" w:rsidRDefault="00BA4661" w:rsidP="00BA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733C8507" w14:textId="77777777" w:rsidR="00BA4661" w:rsidRDefault="00BA4661" w:rsidP="00BA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n-CA"/>
        </w:rPr>
      </w:pPr>
    </w:p>
    <w:p w14:paraId="0F04CF60" w14:textId="77777777" w:rsidR="00AD3086" w:rsidRDefault="00AD3086" w:rsidP="007C110E">
      <w:pPr>
        <w:rPr>
          <w:b/>
          <w:bCs/>
          <w:lang w:val="en-CA"/>
        </w:rPr>
      </w:pPr>
    </w:p>
    <w:p w14:paraId="1CA67A8B" w14:textId="06CB4531" w:rsidR="007C110E" w:rsidRPr="00AD3086" w:rsidRDefault="00AD3086" w:rsidP="007C110E">
      <w:pPr>
        <w:rPr>
          <w:b/>
          <w:bCs/>
          <w:lang w:val="en-CA"/>
        </w:rPr>
      </w:pPr>
      <w:r w:rsidRPr="00AD3086">
        <w:rPr>
          <w:b/>
          <w:bCs/>
          <w:lang w:val="en-CA"/>
        </w:rPr>
        <w:t>To the extent possible, please fill out the following table</w:t>
      </w:r>
      <w:r w:rsidR="00475EA1">
        <w:rPr>
          <w:b/>
          <w:bCs/>
          <w:lang w:val="en-CA"/>
        </w:rPr>
        <w:t>:</w:t>
      </w:r>
    </w:p>
    <w:p w14:paraId="7A9D2FC2" w14:textId="13D1C74B" w:rsidR="007C110E" w:rsidRPr="00091DBB" w:rsidRDefault="007C110E" w:rsidP="00CE5AC1">
      <w:pPr>
        <w:rPr>
          <w:b/>
          <w:bCs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3775"/>
      </w:tblGrid>
      <w:tr w:rsidR="00A709E5" w14:paraId="2792C13E" w14:textId="77777777" w:rsidTr="00E2396E">
        <w:tc>
          <w:tcPr>
            <w:tcW w:w="715" w:type="dxa"/>
          </w:tcPr>
          <w:p w14:paraId="25B5F135" w14:textId="6F919C7E" w:rsidR="00A709E5" w:rsidRDefault="00E2396E" w:rsidP="00CE5AC1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Y/N or n/a</w:t>
            </w:r>
          </w:p>
        </w:tc>
        <w:tc>
          <w:tcPr>
            <w:tcW w:w="4860" w:type="dxa"/>
          </w:tcPr>
          <w:p w14:paraId="4FF343DD" w14:textId="6C6F2D3E" w:rsidR="00A709E5" w:rsidRDefault="00A709E5" w:rsidP="00A21F38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Criteri</w:t>
            </w:r>
            <w:r w:rsidR="00A21F38">
              <w:rPr>
                <w:bCs/>
                <w:lang w:val="en-CA"/>
              </w:rPr>
              <w:t>on</w:t>
            </w:r>
          </w:p>
        </w:tc>
        <w:tc>
          <w:tcPr>
            <w:tcW w:w="3775" w:type="dxa"/>
          </w:tcPr>
          <w:p w14:paraId="427F454F" w14:textId="57C12D25" w:rsidR="00A709E5" w:rsidRDefault="00A709E5" w:rsidP="00CE5AC1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Comments/Notes (as required)</w:t>
            </w:r>
          </w:p>
        </w:tc>
      </w:tr>
      <w:tr w:rsidR="00540496" w14:paraId="6FDF58CA" w14:textId="77777777" w:rsidTr="00E2396E">
        <w:tc>
          <w:tcPr>
            <w:tcW w:w="715" w:type="dxa"/>
          </w:tcPr>
          <w:p w14:paraId="601E1A62" w14:textId="56AE5F26" w:rsidR="00540496" w:rsidRDefault="00540496" w:rsidP="00FC6B20">
            <w:pPr>
              <w:jc w:val="center"/>
              <w:rPr>
                <w:bCs/>
                <w:lang w:val="en-CA"/>
              </w:rPr>
            </w:pPr>
          </w:p>
        </w:tc>
        <w:tc>
          <w:tcPr>
            <w:tcW w:w="4860" w:type="dxa"/>
          </w:tcPr>
          <w:p w14:paraId="7DE71357" w14:textId="20DB1196" w:rsidR="00540496" w:rsidRPr="002A506A" w:rsidRDefault="00D74988" w:rsidP="00D74988">
            <w:r>
              <w:rPr>
                <w:rFonts w:ascii="Calibri" w:hAnsi="Calibri" w:cs="Calibri"/>
                <w:color w:val="000000" w:themeColor="text1"/>
              </w:rPr>
              <w:t xml:space="preserve">Physical distancing </w:t>
            </w:r>
            <w:r w:rsidR="00540496" w:rsidRPr="002A506A">
              <w:rPr>
                <w:rFonts w:ascii="Calibri" w:hAnsi="Calibri" w:cs="Calibri"/>
                <w:color w:val="000000" w:themeColor="text1"/>
              </w:rPr>
              <w:t>can be managed at the entrance/exit of the teaching space, and established in the teaching space at all times; proximity to other hubs/sites of activity in a building are considered.</w:t>
            </w:r>
            <w:bookmarkStart w:id="0" w:name="_GoBack"/>
            <w:bookmarkEnd w:id="0"/>
          </w:p>
        </w:tc>
        <w:tc>
          <w:tcPr>
            <w:tcW w:w="3775" w:type="dxa"/>
          </w:tcPr>
          <w:p w14:paraId="72494907" w14:textId="77777777" w:rsidR="00540496" w:rsidRDefault="00540496" w:rsidP="00CE5AC1">
            <w:pPr>
              <w:rPr>
                <w:bCs/>
                <w:lang w:val="en-CA"/>
              </w:rPr>
            </w:pPr>
          </w:p>
          <w:p w14:paraId="24DDE678" w14:textId="16591362" w:rsidR="0079792A" w:rsidRDefault="0079792A" w:rsidP="00CE5AC1">
            <w:pPr>
              <w:rPr>
                <w:bCs/>
                <w:lang w:val="en-CA"/>
              </w:rPr>
            </w:pPr>
          </w:p>
        </w:tc>
      </w:tr>
      <w:tr w:rsidR="00A709E5" w14:paraId="1691F4E5" w14:textId="77777777" w:rsidTr="00E2396E">
        <w:tc>
          <w:tcPr>
            <w:tcW w:w="715" w:type="dxa"/>
          </w:tcPr>
          <w:p w14:paraId="138ED074" w14:textId="68979735" w:rsidR="00A709E5" w:rsidRDefault="00A709E5" w:rsidP="00FC6B20">
            <w:pPr>
              <w:jc w:val="center"/>
              <w:rPr>
                <w:bCs/>
                <w:lang w:val="en-CA"/>
              </w:rPr>
            </w:pPr>
          </w:p>
        </w:tc>
        <w:tc>
          <w:tcPr>
            <w:tcW w:w="4860" w:type="dxa"/>
          </w:tcPr>
          <w:p w14:paraId="68DFB6C6" w14:textId="36CCFBA4" w:rsidR="00A709E5" w:rsidRDefault="00E2396E" w:rsidP="00675F62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Sharing of supplies or equipment should be avoided or properly disinfected between uses</w:t>
            </w:r>
            <w:r w:rsidR="000E552F">
              <w:rPr>
                <w:bCs/>
                <w:lang w:val="en-CA"/>
              </w:rPr>
              <w:t>.</w:t>
            </w:r>
          </w:p>
        </w:tc>
        <w:tc>
          <w:tcPr>
            <w:tcW w:w="3775" w:type="dxa"/>
          </w:tcPr>
          <w:p w14:paraId="34BA4A5A" w14:textId="77777777" w:rsidR="007C110E" w:rsidRDefault="007C110E" w:rsidP="00CE5AC1">
            <w:pPr>
              <w:rPr>
                <w:bCs/>
                <w:lang w:val="en-CA"/>
              </w:rPr>
            </w:pPr>
          </w:p>
          <w:p w14:paraId="6973B274" w14:textId="7DAEC4A1" w:rsidR="0079792A" w:rsidRDefault="0079792A" w:rsidP="00CE5AC1">
            <w:pPr>
              <w:rPr>
                <w:bCs/>
                <w:lang w:val="en-CA"/>
              </w:rPr>
            </w:pPr>
          </w:p>
        </w:tc>
      </w:tr>
      <w:tr w:rsidR="00A709E5" w14:paraId="2CE0781F" w14:textId="77777777" w:rsidTr="00E2396E">
        <w:tc>
          <w:tcPr>
            <w:tcW w:w="715" w:type="dxa"/>
          </w:tcPr>
          <w:p w14:paraId="786CA61E" w14:textId="3C9D385B" w:rsidR="00A709E5" w:rsidRDefault="00A709E5" w:rsidP="00FC6B20">
            <w:pPr>
              <w:jc w:val="center"/>
              <w:rPr>
                <w:bCs/>
                <w:lang w:val="en-CA"/>
              </w:rPr>
            </w:pPr>
          </w:p>
        </w:tc>
        <w:tc>
          <w:tcPr>
            <w:tcW w:w="4860" w:type="dxa"/>
          </w:tcPr>
          <w:p w14:paraId="7B2DBE30" w14:textId="74044C1F" w:rsidR="00A709E5" w:rsidRDefault="00E2396E" w:rsidP="00CE5AC1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Need for Personal Protective Equipment (PPE) is considered (masks, gloves, etc)</w:t>
            </w:r>
            <w:r w:rsidR="000E552F">
              <w:rPr>
                <w:bCs/>
                <w:lang w:val="en-CA"/>
              </w:rPr>
              <w:t>.</w:t>
            </w:r>
            <w:r w:rsidR="009D6680">
              <w:rPr>
                <w:bCs/>
                <w:lang w:val="en-CA"/>
              </w:rPr>
              <w:t xml:space="preserve"> </w:t>
            </w:r>
            <w:r w:rsidR="00604EEC">
              <w:rPr>
                <w:bCs/>
                <w:lang w:val="en-CA"/>
              </w:rPr>
              <w:t>Note: t</w:t>
            </w:r>
            <w:r w:rsidR="009D6680">
              <w:rPr>
                <w:bCs/>
                <w:lang w:val="en-CA"/>
              </w:rPr>
              <w:t>his criterion will be relevant for teaching activities where distance requirements directives cannot be respected.</w:t>
            </w:r>
          </w:p>
        </w:tc>
        <w:tc>
          <w:tcPr>
            <w:tcW w:w="3775" w:type="dxa"/>
          </w:tcPr>
          <w:p w14:paraId="2D68D777" w14:textId="77777777" w:rsidR="00A709E5" w:rsidRDefault="00A709E5" w:rsidP="00CE5AC1">
            <w:pPr>
              <w:rPr>
                <w:bCs/>
                <w:lang w:val="en-CA"/>
              </w:rPr>
            </w:pPr>
          </w:p>
          <w:p w14:paraId="24E629DB" w14:textId="0DA927CF" w:rsidR="0079792A" w:rsidRDefault="0079792A" w:rsidP="00CE5AC1">
            <w:pPr>
              <w:rPr>
                <w:bCs/>
                <w:lang w:val="en-CA"/>
              </w:rPr>
            </w:pPr>
          </w:p>
        </w:tc>
      </w:tr>
      <w:tr w:rsidR="00A709E5" w14:paraId="09F2A86C" w14:textId="77777777" w:rsidTr="00E2396E">
        <w:tc>
          <w:tcPr>
            <w:tcW w:w="715" w:type="dxa"/>
          </w:tcPr>
          <w:p w14:paraId="3A6D14A1" w14:textId="068516A7" w:rsidR="00A709E5" w:rsidRDefault="00A709E5" w:rsidP="00FC6B20">
            <w:pPr>
              <w:jc w:val="center"/>
              <w:rPr>
                <w:bCs/>
                <w:lang w:val="en-CA"/>
              </w:rPr>
            </w:pPr>
          </w:p>
        </w:tc>
        <w:tc>
          <w:tcPr>
            <w:tcW w:w="4860" w:type="dxa"/>
          </w:tcPr>
          <w:p w14:paraId="05BD3664" w14:textId="2D97F800" w:rsidR="00A709E5" w:rsidRDefault="009D6680" w:rsidP="00675F62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Measures have been put in place to ensure that students who cannot take part in the in-person learning activity will not be penalized. </w:t>
            </w:r>
          </w:p>
        </w:tc>
        <w:tc>
          <w:tcPr>
            <w:tcW w:w="3775" w:type="dxa"/>
          </w:tcPr>
          <w:p w14:paraId="45A5C897" w14:textId="77777777" w:rsidR="00A709E5" w:rsidRDefault="00A709E5" w:rsidP="00CE5AC1">
            <w:pPr>
              <w:rPr>
                <w:bCs/>
                <w:lang w:val="en-CA"/>
              </w:rPr>
            </w:pPr>
          </w:p>
          <w:p w14:paraId="46DC3BE5" w14:textId="1DC91134" w:rsidR="0079792A" w:rsidRDefault="0079792A" w:rsidP="00CE5AC1">
            <w:pPr>
              <w:rPr>
                <w:bCs/>
                <w:lang w:val="en-CA"/>
              </w:rPr>
            </w:pPr>
          </w:p>
        </w:tc>
      </w:tr>
      <w:tr w:rsidR="00E2396E" w14:paraId="352615E8" w14:textId="77777777" w:rsidTr="00E2396E">
        <w:tc>
          <w:tcPr>
            <w:tcW w:w="715" w:type="dxa"/>
          </w:tcPr>
          <w:p w14:paraId="1CD96081" w14:textId="6BA3399C" w:rsidR="00E2396E" w:rsidRDefault="00E2396E" w:rsidP="00FC6B20">
            <w:pPr>
              <w:jc w:val="center"/>
              <w:rPr>
                <w:bCs/>
                <w:lang w:val="en-CA"/>
              </w:rPr>
            </w:pPr>
          </w:p>
        </w:tc>
        <w:tc>
          <w:tcPr>
            <w:tcW w:w="4860" w:type="dxa"/>
          </w:tcPr>
          <w:p w14:paraId="5A57EF62" w14:textId="2FD84AB2" w:rsidR="00E2396E" w:rsidRDefault="00E2396E" w:rsidP="00675F62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Instructor(s) is/are </w:t>
            </w:r>
            <w:r w:rsidR="0065117C">
              <w:rPr>
                <w:bCs/>
                <w:lang w:val="en-CA"/>
              </w:rPr>
              <w:t>available</w:t>
            </w:r>
            <w:r w:rsidR="00675F62">
              <w:rPr>
                <w:bCs/>
                <w:lang w:val="en-CA"/>
              </w:rPr>
              <w:t xml:space="preserve"> to deliver</w:t>
            </w:r>
            <w:r w:rsidR="0065117C">
              <w:rPr>
                <w:bCs/>
                <w:lang w:val="en-CA"/>
              </w:rPr>
              <w:t xml:space="preserve"> </w:t>
            </w:r>
            <w:r w:rsidR="00675F62">
              <w:rPr>
                <w:bCs/>
                <w:lang w:val="en-CA"/>
              </w:rPr>
              <w:t>the activity</w:t>
            </w:r>
            <w:r w:rsidR="0065117C">
              <w:rPr>
                <w:bCs/>
                <w:lang w:val="en-CA"/>
              </w:rPr>
              <w:t>.</w:t>
            </w:r>
          </w:p>
        </w:tc>
        <w:tc>
          <w:tcPr>
            <w:tcW w:w="3775" w:type="dxa"/>
          </w:tcPr>
          <w:p w14:paraId="38B2F750" w14:textId="77777777" w:rsidR="007C110E" w:rsidRDefault="007C110E" w:rsidP="00CE5AC1">
            <w:pPr>
              <w:rPr>
                <w:bCs/>
                <w:lang w:val="en-CA"/>
              </w:rPr>
            </w:pPr>
          </w:p>
          <w:p w14:paraId="7A87571E" w14:textId="6288E480" w:rsidR="0079792A" w:rsidRDefault="0079792A" w:rsidP="00CE5AC1">
            <w:pPr>
              <w:rPr>
                <w:bCs/>
                <w:lang w:val="en-CA"/>
              </w:rPr>
            </w:pPr>
          </w:p>
        </w:tc>
      </w:tr>
      <w:tr w:rsidR="00C5569E" w14:paraId="33C56BA1" w14:textId="77777777" w:rsidTr="00E2396E">
        <w:tc>
          <w:tcPr>
            <w:tcW w:w="715" w:type="dxa"/>
          </w:tcPr>
          <w:p w14:paraId="2F9B8F7B" w14:textId="71372BA8" w:rsidR="00C5569E" w:rsidRDefault="00C5569E" w:rsidP="00FC6B20">
            <w:pPr>
              <w:jc w:val="center"/>
              <w:rPr>
                <w:bCs/>
                <w:lang w:val="en-CA"/>
              </w:rPr>
            </w:pPr>
          </w:p>
        </w:tc>
        <w:tc>
          <w:tcPr>
            <w:tcW w:w="4860" w:type="dxa"/>
          </w:tcPr>
          <w:p w14:paraId="7DDC1BAD" w14:textId="3A11F237" w:rsidR="00C5569E" w:rsidRDefault="00C5569E" w:rsidP="00091DBB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Impact of possible additional lockdowns in Montreal</w:t>
            </w:r>
            <w:r w:rsidR="00604EEC">
              <w:rPr>
                <w:bCs/>
                <w:lang w:val="en-CA"/>
              </w:rPr>
              <w:t xml:space="preserve"> have been </w:t>
            </w:r>
            <w:r>
              <w:rPr>
                <w:bCs/>
                <w:lang w:val="en-CA"/>
              </w:rPr>
              <w:t>considered and planned for.</w:t>
            </w:r>
          </w:p>
        </w:tc>
        <w:tc>
          <w:tcPr>
            <w:tcW w:w="3775" w:type="dxa"/>
          </w:tcPr>
          <w:p w14:paraId="1B3D43D7" w14:textId="77777777" w:rsidR="00C5569E" w:rsidRDefault="00C5569E" w:rsidP="00CE5AC1">
            <w:pPr>
              <w:rPr>
                <w:bCs/>
                <w:lang w:val="en-CA"/>
              </w:rPr>
            </w:pPr>
          </w:p>
          <w:p w14:paraId="001EAC52" w14:textId="4CCACD92" w:rsidR="0079792A" w:rsidRDefault="0079792A" w:rsidP="00CE5AC1">
            <w:pPr>
              <w:rPr>
                <w:bCs/>
                <w:lang w:val="en-CA"/>
              </w:rPr>
            </w:pPr>
          </w:p>
        </w:tc>
      </w:tr>
      <w:tr w:rsidR="00E2396E" w14:paraId="7D3787D7" w14:textId="77777777" w:rsidTr="00E2396E">
        <w:tc>
          <w:tcPr>
            <w:tcW w:w="715" w:type="dxa"/>
          </w:tcPr>
          <w:p w14:paraId="775E7A25" w14:textId="1923816F" w:rsidR="0079792A" w:rsidRDefault="0079792A" w:rsidP="0079792A">
            <w:pPr>
              <w:rPr>
                <w:bCs/>
                <w:lang w:val="en-CA"/>
              </w:rPr>
            </w:pPr>
          </w:p>
        </w:tc>
        <w:tc>
          <w:tcPr>
            <w:tcW w:w="4860" w:type="dxa"/>
          </w:tcPr>
          <w:p w14:paraId="7E80E37C" w14:textId="5D85F621" w:rsidR="00E2396E" w:rsidRDefault="00E2396E" w:rsidP="00E2396E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As relevant, consideration of impacts or needs related to accreditation has been </w:t>
            </w:r>
            <w:r w:rsidR="00604EEC">
              <w:rPr>
                <w:bCs/>
                <w:lang w:val="en-CA"/>
              </w:rPr>
              <w:t>taken</w:t>
            </w:r>
            <w:r>
              <w:rPr>
                <w:bCs/>
                <w:lang w:val="en-CA"/>
              </w:rPr>
              <w:t xml:space="preserve">. </w:t>
            </w:r>
          </w:p>
        </w:tc>
        <w:tc>
          <w:tcPr>
            <w:tcW w:w="3775" w:type="dxa"/>
          </w:tcPr>
          <w:p w14:paraId="10E8B680" w14:textId="77777777" w:rsidR="007C110E" w:rsidRDefault="007C110E" w:rsidP="00CE5AC1">
            <w:pPr>
              <w:rPr>
                <w:bCs/>
                <w:lang w:val="en-CA"/>
              </w:rPr>
            </w:pPr>
          </w:p>
          <w:p w14:paraId="31A40A9A" w14:textId="7ED6C8F7" w:rsidR="0079792A" w:rsidRDefault="0079792A" w:rsidP="00CE5AC1">
            <w:pPr>
              <w:rPr>
                <w:bCs/>
                <w:lang w:val="en-CA"/>
              </w:rPr>
            </w:pPr>
          </w:p>
        </w:tc>
      </w:tr>
    </w:tbl>
    <w:p w14:paraId="6EE1830F" w14:textId="4FB6DF40" w:rsidR="007C110E" w:rsidRDefault="007C110E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br w:type="page"/>
      </w:r>
    </w:p>
    <w:p w14:paraId="1E70E54B" w14:textId="704A5666" w:rsidR="00502522" w:rsidRPr="00502522" w:rsidRDefault="00502522" w:rsidP="00CE5AC1">
      <w:pPr>
        <w:rPr>
          <w:b/>
          <w:bCs/>
          <w:u w:val="single"/>
          <w:lang w:val="en-CA"/>
        </w:rPr>
      </w:pPr>
      <w:r w:rsidRPr="00502522">
        <w:rPr>
          <w:b/>
          <w:bCs/>
          <w:u w:val="single"/>
          <w:lang w:val="en-CA"/>
        </w:rPr>
        <w:lastRenderedPageBreak/>
        <w:t>Approvals:</w:t>
      </w:r>
    </w:p>
    <w:p w14:paraId="26B27B92" w14:textId="0027A501" w:rsidR="00C13D45" w:rsidRDefault="00C13D45" w:rsidP="00CE5AC1">
      <w:pPr>
        <w:rPr>
          <w:bCs/>
          <w:lang w:val="en-CA"/>
        </w:rPr>
      </w:pPr>
    </w:p>
    <w:p w14:paraId="2247F9B2" w14:textId="3DFE2A4E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  <w:r w:rsidRPr="00A21F38">
        <w:rPr>
          <w:b/>
          <w:bCs/>
          <w:lang w:val="en-CA"/>
        </w:rPr>
        <w:t>Associate Dean or equivalent</w:t>
      </w:r>
      <w:r>
        <w:rPr>
          <w:bCs/>
          <w:lang w:val="en-CA"/>
        </w:rPr>
        <w:t xml:space="preserve"> (name and electronic signature):</w:t>
      </w:r>
    </w:p>
    <w:p w14:paraId="3E42F403" w14:textId="79DC1EC6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  <w:r>
        <w:rPr>
          <w:bCs/>
          <w:lang w:val="en-CA"/>
        </w:rPr>
        <w:t>Date:</w:t>
      </w:r>
      <w:r w:rsidR="003E5642">
        <w:rPr>
          <w:bCs/>
          <w:lang w:val="en-CA"/>
        </w:rPr>
        <w:t xml:space="preserve"> </w:t>
      </w:r>
    </w:p>
    <w:p w14:paraId="2997E278" w14:textId="77777777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</w:p>
    <w:p w14:paraId="42D7E518" w14:textId="77777777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  <w:r>
        <w:rPr>
          <w:bCs/>
          <w:lang w:val="en-CA"/>
        </w:rPr>
        <w:t xml:space="preserve">Comments: </w:t>
      </w:r>
    </w:p>
    <w:p w14:paraId="6F7C98D7" w14:textId="77777777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</w:p>
    <w:p w14:paraId="79E1B456" w14:textId="3E064871" w:rsidR="00C13D45" w:rsidRDefault="00C13D45" w:rsidP="00CE5AC1">
      <w:pPr>
        <w:rPr>
          <w:bCs/>
          <w:lang w:val="en-CA"/>
        </w:rPr>
      </w:pPr>
    </w:p>
    <w:p w14:paraId="4CE22446" w14:textId="17861F2D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  <w:r w:rsidRPr="00A21F38">
        <w:rPr>
          <w:b/>
          <w:bCs/>
          <w:lang w:val="en-CA"/>
        </w:rPr>
        <w:t>Dean</w:t>
      </w:r>
      <w:r>
        <w:rPr>
          <w:bCs/>
          <w:lang w:val="en-CA"/>
        </w:rPr>
        <w:t xml:space="preserve"> (name and electronic signature):</w:t>
      </w:r>
    </w:p>
    <w:p w14:paraId="1A96734A" w14:textId="11B70D68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  <w:r>
        <w:rPr>
          <w:bCs/>
          <w:lang w:val="en-CA"/>
        </w:rPr>
        <w:t>Date:</w:t>
      </w:r>
      <w:r w:rsidR="00343554">
        <w:rPr>
          <w:bCs/>
          <w:lang w:val="en-CA"/>
        </w:rPr>
        <w:t xml:space="preserve"> </w:t>
      </w:r>
    </w:p>
    <w:p w14:paraId="18D199E7" w14:textId="5DBB39DC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</w:p>
    <w:p w14:paraId="2430E283" w14:textId="2BC522E4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</w:p>
    <w:p w14:paraId="1215E6A1" w14:textId="16A565E1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  <w:r>
        <w:rPr>
          <w:bCs/>
          <w:lang w:val="en-CA"/>
        </w:rPr>
        <w:t xml:space="preserve">Comments: </w:t>
      </w:r>
    </w:p>
    <w:p w14:paraId="665458DE" w14:textId="77777777" w:rsidR="00C13D45" w:rsidRDefault="00C13D45" w:rsidP="00CE5AC1">
      <w:pPr>
        <w:rPr>
          <w:bCs/>
          <w:lang w:val="en-CA"/>
        </w:rPr>
      </w:pPr>
    </w:p>
    <w:p w14:paraId="1B2BAB9D" w14:textId="7569CDF3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  <w:r w:rsidRPr="00A21F38">
        <w:rPr>
          <w:b/>
          <w:bCs/>
          <w:lang w:val="en-CA"/>
        </w:rPr>
        <w:t>Associate Provost</w:t>
      </w:r>
      <w:r>
        <w:rPr>
          <w:bCs/>
          <w:lang w:val="en-CA"/>
        </w:rPr>
        <w:t xml:space="preserve"> (Teaching &amp; Academic Programs) (name and electronic signature</w:t>
      </w:r>
      <w:r w:rsidR="00AD3086">
        <w:rPr>
          <w:bCs/>
          <w:lang w:val="en-CA"/>
        </w:rPr>
        <w:t>)</w:t>
      </w:r>
      <w:r w:rsidR="0079792A">
        <w:rPr>
          <w:bCs/>
          <w:lang w:val="en-CA"/>
        </w:rPr>
        <w:t>:</w:t>
      </w:r>
    </w:p>
    <w:p w14:paraId="706A6DE5" w14:textId="77777777" w:rsidR="0079792A" w:rsidRDefault="0079792A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</w:p>
    <w:p w14:paraId="75637382" w14:textId="5143E825" w:rsidR="00C13D45" w:rsidRPr="0049339B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CA"/>
        </w:rPr>
      </w:pPr>
      <w:r w:rsidRPr="0049339B">
        <w:rPr>
          <w:bCs/>
          <w:lang w:val="fr-CA"/>
        </w:rPr>
        <w:t>Date:</w:t>
      </w:r>
      <w:r w:rsidR="00F065D9">
        <w:rPr>
          <w:bCs/>
          <w:lang w:val="fr-CA"/>
        </w:rPr>
        <w:t xml:space="preserve"> </w:t>
      </w:r>
    </w:p>
    <w:p w14:paraId="03533B64" w14:textId="77777777" w:rsidR="00C13D45" w:rsidRPr="0049339B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CA"/>
        </w:rPr>
      </w:pPr>
    </w:p>
    <w:p w14:paraId="2B1A13DE" w14:textId="032AA8E5" w:rsidR="00C13D45" w:rsidRPr="0049339B" w:rsidRDefault="00F065D9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CA"/>
        </w:rPr>
      </w:pPr>
      <w:r>
        <w:rPr>
          <w:bCs/>
          <w:lang w:val="fr-CA"/>
        </w:rPr>
        <w:t xml:space="preserve">Comments: </w:t>
      </w:r>
    </w:p>
    <w:p w14:paraId="2278E965" w14:textId="77777777" w:rsidR="00C13D45" w:rsidRPr="0049339B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CA"/>
        </w:rPr>
      </w:pPr>
    </w:p>
    <w:p w14:paraId="6CB6221F" w14:textId="50A67315" w:rsidR="00C13D45" w:rsidRPr="0049339B" w:rsidRDefault="00C13D45" w:rsidP="00CE5AC1">
      <w:pPr>
        <w:rPr>
          <w:bCs/>
          <w:lang w:val="fr-CA"/>
        </w:rPr>
      </w:pPr>
    </w:p>
    <w:p w14:paraId="2A256B4D" w14:textId="14BAFEC8" w:rsidR="00C13D45" w:rsidRPr="0049339B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CA"/>
        </w:rPr>
      </w:pPr>
      <w:r w:rsidRPr="0049339B">
        <w:rPr>
          <w:b/>
          <w:bCs/>
          <w:lang w:val="fr-CA"/>
        </w:rPr>
        <w:t>EOC</w:t>
      </w:r>
      <w:r w:rsidR="00A21F38" w:rsidRPr="0049339B">
        <w:rPr>
          <w:b/>
          <w:bCs/>
          <w:lang w:val="fr-CA"/>
        </w:rPr>
        <w:t xml:space="preserve"> confirmation</w:t>
      </w:r>
    </w:p>
    <w:p w14:paraId="78922C41" w14:textId="77777777" w:rsidR="00C13D45" w:rsidRPr="0049339B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CA"/>
        </w:rPr>
      </w:pPr>
      <w:r w:rsidRPr="0049339B">
        <w:rPr>
          <w:bCs/>
          <w:lang w:val="fr-CA"/>
        </w:rPr>
        <w:t>Date:</w:t>
      </w:r>
    </w:p>
    <w:p w14:paraId="1AB8BE2A" w14:textId="77777777" w:rsidR="00C13D45" w:rsidRPr="0049339B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fr-CA"/>
        </w:rPr>
      </w:pPr>
    </w:p>
    <w:p w14:paraId="3C64112C" w14:textId="0302695B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  <w:r>
        <w:rPr>
          <w:bCs/>
          <w:lang w:val="en-CA"/>
        </w:rPr>
        <w:t xml:space="preserve">Comments: </w:t>
      </w:r>
    </w:p>
    <w:p w14:paraId="0E9071DF" w14:textId="77777777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</w:p>
    <w:p w14:paraId="65F39C80" w14:textId="77777777" w:rsidR="00C13D45" w:rsidRDefault="00C13D45" w:rsidP="00C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CA"/>
        </w:rPr>
      </w:pPr>
    </w:p>
    <w:sectPr w:rsidR="00C13D45" w:rsidSect="005660A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4FB7" w14:textId="77777777" w:rsidR="00257D28" w:rsidRDefault="00257D28" w:rsidP="00502522">
      <w:r>
        <w:separator/>
      </w:r>
    </w:p>
  </w:endnote>
  <w:endnote w:type="continuationSeparator" w:id="0">
    <w:p w14:paraId="25C4E56A" w14:textId="77777777" w:rsidR="00257D28" w:rsidRDefault="00257D28" w:rsidP="0050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84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C509D" w14:textId="5873CEF8" w:rsidR="00091DBB" w:rsidRDefault="00091D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88818" w14:textId="77777777" w:rsidR="00091DBB" w:rsidRDefault="0009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51BEA" w14:textId="77777777" w:rsidR="00257D28" w:rsidRDefault="00257D28" w:rsidP="00502522">
      <w:r>
        <w:separator/>
      </w:r>
    </w:p>
  </w:footnote>
  <w:footnote w:type="continuationSeparator" w:id="0">
    <w:p w14:paraId="51A16D63" w14:textId="77777777" w:rsidR="00257D28" w:rsidRDefault="00257D28" w:rsidP="0050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D55" w14:textId="47AAAAA2" w:rsidR="00C13D45" w:rsidRPr="00EB0EE1" w:rsidRDefault="007F3C88" w:rsidP="00C13D45">
    <w:pPr>
      <w:rPr>
        <w:b/>
        <w:bCs/>
        <w:u w:val="single"/>
        <w:lang w:val="en-CA"/>
      </w:rPr>
    </w:pPr>
    <w:r w:rsidRPr="00EB0EE1">
      <w:rPr>
        <w:bCs/>
        <w:lang w:val="en-CA"/>
      </w:rPr>
      <w:t>In</w:t>
    </w:r>
    <w:r w:rsidR="00C13D45" w:rsidRPr="00EB0EE1">
      <w:rPr>
        <w:bCs/>
        <w:lang w:val="en-CA"/>
      </w:rPr>
      <w:t xml:space="preserve">-person </w:t>
    </w:r>
    <w:r w:rsidR="00EB0EE1" w:rsidRPr="00EB0EE1">
      <w:rPr>
        <w:bCs/>
        <w:lang w:val="en-CA"/>
      </w:rPr>
      <w:t>a</w:t>
    </w:r>
    <w:r w:rsidRPr="00EB0EE1">
      <w:rPr>
        <w:bCs/>
        <w:lang w:val="en-CA"/>
      </w:rPr>
      <w:t>cademic</w:t>
    </w:r>
    <w:r w:rsidR="00C13D45" w:rsidRPr="00EB0EE1">
      <w:rPr>
        <w:bCs/>
        <w:lang w:val="en-CA"/>
      </w:rPr>
      <w:t xml:space="preserve"> activities for Fall</w:t>
    </w:r>
    <w:r w:rsidR="002A506A" w:rsidRPr="00EB0EE1">
      <w:rPr>
        <w:bCs/>
        <w:lang w:val="en-CA"/>
      </w:rPr>
      <w:t xml:space="preserve"> </w:t>
    </w:r>
    <w:r w:rsidR="00C13D45" w:rsidRPr="00EB0EE1">
      <w:rPr>
        <w:bCs/>
        <w:lang w:val="en-CA"/>
      </w:rPr>
      <w:t>2020</w:t>
    </w:r>
    <w:r w:rsidRPr="00EB0EE1">
      <w:rPr>
        <w:bCs/>
        <w:lang w:val="en-CA"/>
      </w:rPr>
      <w:t xml:space="preserve"> requiring Approval from Academic Planning</w:t>
    </w:r>
    <w:r w:rsidR="00EB0EE1" w:rsidRPr="00EB0EE1">
      <w:rPr>
        <w:bCs/>
        <w:lang w:val="en-CA"/>
      </w:rPr>
      <w:t xml:space="preserve"> Executive Committee</w:t>
    </w:r>
    <w:r w:rsidRPr="00EB0EE1">
      <w:rPr>
        <w:bCs/>
        <w:lang w:val="en-CA"/>
      </w:rPr>
      <w:t xml:space="preserve"> (APEC)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6BA"/>
    <w:multiLevelType w:val="hybridMultilevel"/>
    <w:tmpl w:val="1E645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EEA"/>
    <w:multiLevelType w:val="hybridMultilevel"/>
    <w:tmpl w:val="4B8E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E6153"/>
    <w:multiLevelType w:val="hybridMultilevel"/>
    <w:tmpl w:val="B6D81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0E"/>
    <w:rsid w:val="00002CD6"/>
    <w:rsid w:val="00012922"/>
    <w:rsid w:val="0001548D"/>
    <w:rsid w:val="00062C14"/>
    <w:rsid w:val="00076494"/>
    <w:rsid w:val="00081C0D"/>
    <w:rsid w:val="00091DBB"/>
    <w:rsid w:val="00096193"/>
    <w:rsid w:val="000A0330"/>
    <w:rsid w:val="000C3D17"/>
    <w:rsid w:val="000E5475"/>
    <w:rsid w:val="000E552F"/>
    <w:rsid w:val="002177AE"/>
    <w:rsid w:val="00257D28"/>
    <w:rsid w:val="0029212E"/>
    <w:rsid w:val="002A1286"/>
    <w:rsid w:val="002A506A"/>
    <w:rsid w:val="002A7FC0"/>
    <w:rsid w:val="002C470E"/>
    <w:rsid w:val="002F277A"/>
    <w:rsid w:val="003268B5"/>
    <w:rsid w:val="00343554"/>
    <w:rsid w:val="003613B5"/>
    <w:rsid w:val="00392ECD"/>
    <w:rsid w:val="003B252F"/>
    <w:rsid w:val="003D70D9"/>
    <w:rsid w:val="003E5642"/>
    <w:rsid w:val="00401118"/>
    <w:rsid w:val="00412E16"/>
    <w:rsid w:val="004436AC"/>
    <w:rsid w:val="004540AC"/>
    <w:rsid w:val="00471427"/>
    <w:rsid w:val="00475EA1"/>
    <w:rsid w:val="0049339B"/>
    <w:rsid w:val="004A7551"/>
    <w:rsid w:val="004B5C75"/>
    <w:rsid w:val="004C5D52"/>
    <w:rsid w:val="004E29FF"/>
    <w:rsid w:val="00501D39"/>
    <w:rsid w:val="00502522"/>
    <w:rsid w:val="00540496"/>
    <w:rsid w:val="005660AD"/>
    <w:rsid w:val="00567B71"/>
    <w:rsid w:val="005825D8"/>
    <w:rsid w:val="005B412C"/>
    <w:rsid w:val="005C136E"/>
    <w:rsid w:val="005C42CA"/>
    <w:rsid w:val="005C7F9F"/>
    <w:rsid w:val="005D04F1"/>
    <w:rsid w:val="005D3861"/>
    <w:rsid w:val="005D6E4C"/>
    <w:rsid w:val="00604EEC"/>
    <w:rsid w:val="00623589"/>
    <w:rsid w:val="00625D56"/>
    <w:rsid w:val="00640A14"/>
    <w:rsid w:val="0064405D"/>
    <w:rsid w:val="00647545"/>
    <w:rsid w:val="0065117C"/>
    <w:rsid w:val="00662FE9"/>
    <w:rsid w:val="00675F62"/>
    <w:rsid w:val="00685218"/>
    <w:rsid w:val="00693505"/>
    <w:rsid w:val="00697F82"/>
    <w:rsid w:val="006A103D"/>
    <w:rsid w:val="006D10D7"/>
    <w:rsid w:val="006E3243"/>
    <w:rsid w:val="006F1DBB"/>
    <w:rsid w:val="00713240"/>
    <w:rsid w:val="00713D55"/>
    <w:rsid w:val="0073137C"/>
    <w:rsid w:val="007339B6"/>
    <w:rsid w:val="007359C8"/>
    <w:rsid w:val="007460CE"/>
    <w:rsid w:val="0075076B"/>
    <w:rsid w:val="0079792A"/>
    <w:rsid w:val="007C110E"/>
    <w:rsid w:val="007C4834"/>
    <w:rsid w:val="007F3C88"/>
    <w:rsid w:val="008244FD"/>
    <w:rsid w:val="008350FA"/>
    <w:rsid w:val="00857872"/>
    <w:rsid w:val="008A29E2"/>
    <w:rsid w:val="008B6737"/>
    <w:rsid w:val="008B74CD"/>
    <w:rsid w:val="008C118F"/>
    <w:rsid w:val="00900FAC"/>
    <w:rsid w:val="009479FC"/>
    <w:rsid w:val="009664B8"/>
    <w:rsid w:val="0097154D"/>
    <w:rsid w:val="0098611C"/>
    <w:rsid w:val="00992063"/>
    <w:rsid w:val="009D6680"/>
    <w:rsid w:val="00A052EE"/>
    <w:rsid w:val="00A21F38"/>
    <w:rsid w:val="00A3141B"/>
    <w:rsid w:val="00A339A4"/>
    <w:rsid w:val="00A35178"/>
    <w:rsid w:val="00A36197"/>
    <w:rsid w:val="00A53C14"/>
    <w:rsid w:val="00A709E5"/>
    <w:rsid w:val="00A9692B"/>
    <w:rsid w:val="00AC1B60"/>
    <w:rsid w:val="00AD3086"/>
    <w:rsid w:val="00AD335C"/>
    <w:rsid w:val="00AE0F33"/>
    <w:rsid w:val="00B04287"/>
    <w:rsid w:val="00B11B34"/>
    <w:rsid w:val="00B30AD3"/>
    <w:rsid w:val="00B418E9"/>
    <w:rsid w:val="00B50D9A"/>
    <w:rsid w:val="00B54B36"/>
    <w:rsid w:val="00B63929"/>
    <w:rsid w:val="00B800EE"/>
    <w:rsid w:val="00B80EE4"/>
    <w:rsid w:val="00BA4661"/>
    <w:rsid w:val="00BD08A1"/>
    <w:rsid w:val="00BD690E"/>
    <w:rsid w:val="00BE3ED3"/>
    <w:rsid w:val="00C13D45"/>
    <w:rsid w:val="00C2432A"/>
    <w:rsid w:val="00C54F71"/>
    <w:rsid w:val="00C5569E"/>
    <w:rsid w:val="00C86DB7"/>
    <w:rsid w:val="00C86EB7"/>
    <w:rsid w:val="00CA30A0"/>
    <w:rsid w:val="00CB4F38"/>
    <w:rsid w:val="00CE1E08"/>
    <w:rsid w:val="00CE3519"/>
    <w:rsid w:val="00CE5AC1"/>
    <w:rsid w:val="00CF48CE"/>
    <w:rsid w:val="00CF664B"/>
    <w:rsid w:val="00CF728A"/>
    <w:rsid w:val="00D01016"/>
    <w:rsid w:val="00D037B6"/>
    <w:rsid w:val="00D36409"/>
    <w:rsid w:val="00D74988"/>
    <w:rsid w:val="00DA37DC"/>
    <w:rsid w:val="00DB3E94"/>
    <w:rsid w:val="00DC1C21"/>
    <w:rsid w:val="00DC25A3"/>
    <w:rsid w:val="00DD3497"/>
    <w:rsid w:val="00DE3804"/>
    <w:rsid w:val="00DF271F"/>
    <w:rsid w:val="00E22945"/>
    <w:rsid w:val="00E2396E"/>
    <w:rsid w:val="00E50D46"/>
    <w:rsid w:val="00E52DB2"/>
    <w:rsid w:val="00E55306"/>
    <w:rsid w:val="00E80CA7"/>
    <w:rsid w:val="00E84A20"/>
    <w:rsid w:val="00EB0EE1"/>
    <w:rsid w:val="00EB3BFB"/>
    <w:rsid w:val="00EB4DAE"/>
    <w:rsid w:val="00EF7BC2"/>
    <w:rsid w:val="00F065D9"/>
    <w:rsid w:val="00F450BB"/>
    <w:rsid w:val="00F5147F"/>
    <w:rsid w:val="00F547FE"/>
    <w:rsid w:val="00F850C7"/>
    <w:rsid w:val="00FA6861"/>
    <w:rsid w:val="00FC6B20"/>
    <w:rsid w:val="00FD00D3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1DD1"/>
  <w14:defaultImageDpi w14:val="32767"/>
  <w15:chartTrackingRefBased/>
  <w15:docId w15:val="{D00F2FB3-8008-AA4F-90B2-4AD49216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2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4A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22"/>
  </w:style>
  <w:style w:type="paragraph" w:styleId="Footer">
    <w:name w:val="footer"/>
    <w:basedOn w:val="Normal"/>
    <w:link w:val="FooterChar"/>
    <w:uiPriority w:val="99"/>
    <w:unhideWhenUsed/>
    <w:rsid w:val="0050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22"/>
  </w:style>
  <w:style w:type="paragraph" w:styleId="FootnoteText">
    <w:name w:val="footnote text"/>
    <w:basedOn w:val="Normal"/>
    <w:link w:val="FootnoteTextChar"/>
    <w:uiPriority w:val="99"/>
    <w:semiHidden/>
    <w:unhideWhenUsed/>
    <w:rsid w:val="00CB4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F38"/>
    <w:rPr>
      <w:vertAlign w:val="superscript"/>
    </w:rPr>
  </w:style>
  <w:style w:type="paragraph" w:styleId="Revision">
    <w:name w:val="Revision"/>
    <w:hidden/>
    <w:uiPriority w:val="99"/>
    <w:semiHidden/>
    <w:rsid w:val="00F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cgill.ca/coronavirus/resources/directives-resumption-other-campus-activit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cgill.ca/coronavirus/resources/types-campus-activities-and-resumption-pl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23C378089942809A7943C4880DE6" ma:contentTypeVersion="13" ma:contentTypeDescription="Create a new document." ma:contentTypeScope="" ma:versionID="f03029fe400003aa54892cf3849bb071">
  <xsd:schema xmlns:xsd="http://www.w3.org/2001/XMLSchema" xmlns:xs="http://www.w3.org/2001/XMLSchema" xmlns:p="http://schemas.microsoft.com/office/2006/metadata/properties" xmlns:ns3="8b7c810d-c9c3-4987-b0d7-7c20b69da642" xmlns:ns4="8fa821e5-be0b-4978-8cb3-cce5e1f24c34" targetNamespace="http://schemas.microsoft.com/office/2006/metadata/properties" ma:root="true" ma:fieldsID="225cec283c4529765fcbce2254991d81" ns3:_="" ns4:_="">
    <xsd:import namespace="8b7c810d-c9c3-4987-b0d7-7c20b69da642"/>
    <xsd:import namespace="8fa821e5-be0b-4978-8cb3-cce5e1f24c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c810d-c9c3-4987-b0d7-7c20b69da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21e5-be0b-4978-8cb3-cce5e1f24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2EC08-1478-475E-9773-AEA97347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c810d-c9c3-4987-b0d7-7c20b69da642"/>
    <ds:schemaRef ds:uri="8fa821e5-be0b-4978-8cb3-cce5e1f24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0B357-B249-42BC-A105-2FCB355893F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7c810d-c9c3-4987-b0d7-7c20b69da642"/>
    <ds:schemaRef ds:uri="http://purl.org/dc/elements/1.1/"/>
    <ds:schemaRef ds:uri="http://schemas.microsoft.com/office/2006/metadata/properties"/>
    <ds:schemaRef ds:uri="8fa821e5-be0b-4978-8cb3-cce5e1f24c3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ACCC0D-BE07-4472-BCF2-B708DB2FF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Campbell, Prof.</dc:creator>
  <cp:keywords/>
  <dc:description/>
  <cp:lastModifiedBy>Christopher Buddle, Professor</cp:lastModifiedBy>
  <cp:revision>8</cp:revision>
  <dcterms:created xsi:type="dcterms:W3CDTF">2020-07-07T15:06:00Z</dcterms:created>
  <dcterms:modified xsi:type="dcterms:W3CDTF">2020-07-07T20:27:00Z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0x010100627223C378089942809A7943C4880DE6</vt:lpwstr>
  </property>
</Properties>
</file>