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A2882" w14:textId="77777777" w:rsidR="00A57EF7" w:rsidRDefault="00A57EF7" w:rsidP="00A57EF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323133"/>
          <w:sz w:val="26"/>
          <w:szCs w:val="26"/>
        </w:rPr>
        <w:t xml:space="preserve">ANNEXE II -TABLEAU COMPARATIF DES EXIGENCES EN MATIÈRE DE MAINTIEN DES COMPÉTENCES </w:t>
      </w:r>
    </w:p>
    <w:p w14:paraId="7810D92B" w14:textId="77777777" w:rsidR="00A57EF7" w:rsidRDefault="00A57EF7" w:rsidP="00A57EF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464749"/>
          <w:sz w:val="26"/>
          <w:szCs w:val="26"/>
        </w:rPr>
        <w:t>Le tableau ci-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dessous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décrit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succinctement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les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exigences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du </w:t>
      </w:r>
      <w:proofErr w:type="spellStart"/>
      <w:r>
        <w:rPr>
          <w:rFonts w:ascii="Times Roman" w:hAnsi="Times Roman" w:cs="Times Roman"/>
          <w:i/>
          <w:iCs/>
          <w:color w:val="464749"/>
          <w:sz w:val="26"/>
          <w:szCs w:val="26"/>
        </w:rPr>
        <w:t>Règlement</w:t>
      </w:r>
      <w:proofErr w:type="spellEnd"/>
      <w:r>
        <w:rPr>
          <w:rFonts w:ascii="Times Roman" w:hAnsi="Times Roman" w:cs="Times Roman"/>
          <w:i/>
          <w:iCs/>
          <w:color w:val="464749"/>
          <w:sz w:val="26"/>
          <w:szCs w:val="26"/>
        </w:rPr>
        <w:t xml:space="preserve"> </w:t>
      </w:r>
      <w:proofErr w:type="spellStart"/>
      <w:r>
        <w:rPr>
          <w:rFonts w:ascii="Times Roman" w:hAnsi="Times Roman" w:cs="Times Roman"/>
          <w:i/>
          <w:iCs/>
          <w:color w:val="464749"/>
          <w:sz w:val="26"/>
          <w:szCs w:val="26"/>
        </w:rPr>
        <w:t>sur</w:t>
      </w:r>
      <w:proofErr w:type="spellEnd"/>
      <w:r>
        <w:rPr>
          <w:rFonts w:ascii="Times Roman" w:hAnsi="Times Roman" w:cs="Times Roman"/>
          <w:i/>
          <w:iCs/>
          <w:color w:val="464749"/>
          <w:sz w:val="26"/>
          <w:szCs w:val="26"/>
        </w:rPr>
        <w:t xml:space="preserve"> la formation continue </w:t>
      </w:r>
      <w:proofErr w:type="spellStart"/>
      <w:r>
        <w:rPr>
          <w:rFonts w:ascii="Times Roman" w:hAnsi="Times Roman" w:cs="Times Roman"/>
          <w:i/>
          <w:iCs/>
          <w:color w:val="464749"/>
          <w:sz w:val="26"/>
          <w:szCs w:val="26"/>
        </w:rPr>
        <w:t>obligatoire</w:t>
      </w:r>
      <w:proofErr w:type="spellEnd"/>
      <w:r>
        <w:rPr>
          <w:rFonts w:ascii="Times Roman" w:hAnsi="Times Roman" w:cs="Times Roman"/>
          <w:i/>
          <w:iCs/>
          <w:color w:val="464749"/>
          <w:sz w:val="26"/>
          <w:szCs w:val="26"/>
        </w:rPr>
        <w:t xml:space="preserve"> des </w:t>
      </w:r>
      <w:proofErr w:type="spellStart"/>
      <w:r>
        <w:rPr>
          <w:rFonts w:ascii="Times Roman" w:hAnsi="Times Roman" w:cs="Times Roman"/>
          <w:i/>
          <w:iCs/>
          <w:color w:val="464749"/>
          <w:sz w:val="26"/>
          <w:szCs w:val="26"/>
        </w:rPr>
        <w:t>médecins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, en les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comparant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à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celles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du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programme</w:t>
      </w:r>
      <w:proofErr w:type="spellEnd"/>
      <w:r>
        <w:rPr>
          <w:rFonts w:ascii="Times Roman" w:hAnsi="Times Roman" w:cs="Times Roman"/>
          <w:color w:val="464749"/>
          <w:sz w:val="26"/>
          <w:szCs w:val="26"/>
        </w:rPr>
        <w:t xml:space="preserve"> </w:t>
      </w:r>
      <w:proofErr w:type="spellStart"/>
      <w:r>
        <w:rPr>
          <w:rFonts w:ascii="Times Roman" w:hAnsi="Times Roman" w:cs="Times Roman"/>
          <w:color w:val="464749"/>
          <w:sz w:val="26"/>
          <w:szCs w:val="26"/>
        </w:rPr>
        <w:t>Mainpro</w:t>
      </w:r>
      <w:proofErr w:type="spellEnd"/>
      <w:r w:rsidR="0037189F">
        <w:rPr>
          <w:rFonts w:ascii="Times Roman" w:hAnsi="Times Roman" w:cs="Times Roman"/>
          <w:color w:val="464749"/>
          <w:sz w:val="26"/>
          <w:szCs w:val="26"/>
        </w:rPr>
        <w:t xml:space="preserve">+ (CMFC) </w:t>
      </w:r>
      <w:bookmarkStart w:id="0" w:name="_GoBack"/>
      <w:bookmarkEnd w:id="0"/>
    </w:p>
    <w:tbl>
      <w:tblPr>
        <w:tblpPr w:leftFromText="180" w:rightFromText="180" w:vertAnchor="text" w:horzAnchor="page" w:tblpX="872" w:tblpY="165"/>
        <w:tblW w:w="110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4401"/>
        <w:gridCol w:w="4401"/>
      </w:tblGrid>
      <w:tr w:rsidR="00A57EF7" w14:paraId="358BB552" w14:textId="77777777" w:rsidTr="00A57EF7">
        <w:tc>
          <w:tcPr>
            <w:tcW w:w="2215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EFF7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82D93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EFF7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92A0E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21"/>
                <w:szCs w:val="21"/>
              </w:rPr>
              <w:t xml:space="preserve">RÈGLEMENT DU COLLÈGE DES MÉDECINS DU QUÉBEC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EFF7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4A22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21"/>
                <w:szCs w:val="21"/>
              </w:rPr>
              <w:t xml:space="preserve">PROGRAMME MAINPRO + (CMFC) </w:t>
            </w:r>
          </w:p>
        </w:tc>
      </w:tr>
      <w:tr w:rsidR="00A57EF7" w14:paraId="25A1A5AD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7E2C1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Durée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du cycle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2E964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09506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</w:tr>
      <w:tr w:rsidR="00A57EF7" w14:paraId="33C5A8B0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ABBBD"/>
              <w:bottom w:val="single" w:sz="8" w:space="0" w:color="BBBCBE"/>
              <w:right w:val="single" w:sz="8" w:space="0" w:color="BABBB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DB4EA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Début du cycle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BBD"/>
              <w:bottom w:val="single" w:sz="8" w:space="0" w:color="BBBCBE"/>
              <w:right w:val="single" w:sz="8" w:space="0" w:color="BABBB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25CE6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1</w:t>
            </w:r>
            <w:proofErr w:type="spellStart"/>
            <w:r>
              <w:rPr>
                <w:rFonts w:ascii="Times Roman" w:hAnsi="Times Roman" w:cs="Times Roman"/>
                <w:color w:val="464749"/>
                <w:position w:val="8"/>
                <w:sz w:val="13"/>
                <w:szCs w:val="13"/>
              </w:rPr>
              <w:t>er</w:t>
            </w:r>
            <w:proofErr w:type="spellEnd"/>
            <w:r>
              <w:rPr>
                <w:rFonts w:ascii="Times Roman" w:hAnsi="Times Roman" w:cs="Times Roman"/>
                <w:color w:val="464749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janvier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2019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BBD"/>
              <w:bottom w:val="single" w:sz="8" w:space="0" w:color="BBBCBE"/>
              <w:right w:val="single" w:sz="8" w:space="0" w:color="BABBBD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2A44C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1</w:t>
            </w:r>
            <w:proofErr w:type="spellStart"/>
            <w:r>
              <w:rPr>
                <w:rFonts w:ascii="Times Roman" w:hAnsi="Times Roman" w:cs="Times Roman"/>
                <w:color w:val="464749"/>
                <w:position w:val="8"/>
                <w:sz w:val="13"/>
                <w:szCs w:val="13"/>
              </w:rPr>
              <w:t>er</w:t>
            </w:r>
            <w:proofErr w:type="spellEnd"/>
            <w:r>
              <w:rPr>
                <w:rFonts w:ascii="Times Roman" w:hAnsi="Times Roman" w:cs="Times Roman"/>
                <w:color w:val="464749"/>
                <w:position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juillet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année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variable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selon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l’année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d’adhésion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au CMFC </w:t>
            </w:r>
          </w:p>
        </w:tc>
      </w:tr>
      <w:tr w:rsidR="00A57EF7" w14:paraId="162FE9DB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540CD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Unité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mesure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3E2A6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formation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ABC8A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formation </w:t>
            </w:r>
          </w:p>
        </w:tc>
      </w:tr>
      <w:tr w:rsidR="00A57EF7" w14:paraId="69A7A560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B235E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Catégories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(sections) </w:t>
            </w: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d’activités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F89873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développe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ment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professionnel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  <w:p w14:paraId="47FD62AC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d’évaluation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l’exercice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F33BA" w14:textId="77777777" w:rsidR="00A57EF7" w:rsidRDefault="00A57EF7" w:rsidP="00A57EF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d’apprentissage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en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groupe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14:paraId="68305F34" w14:textId="77777777" w:rsidR="00A57EF7" w:rsidRDefault="00A57EF7" w:rsidP="00A57EF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d’auto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apprentissage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14:paraId="22C138AA" w14:textId="77777777" w:rsidR="00A57EF7" w:rsidRDefault="00A57EF7" w:rsidP="00A57EF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d’évaluation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</w:tc>
      </w:tr>
      <w:tr w:rsidR="00A57EF7" w14:paraId="49BC21FB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048FC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Catégories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CE814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 </w:t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01CC2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certifiées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 </w:t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certifiées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</w:tr>
      <w:tr w:rsidR="00A57EF7" w14:paraId="0BD3334A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07C6A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Exigences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pendant le cycle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1CD5D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250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formation, </w:t>
            </w:r>
            <w:proofErr w:type="spellStart"/>
            <w:proofErr w:type="gram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incluant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  <w:p w14:paraId="3A106757" w14:textId="77777777" w:rsidR="00A57EF7" w:rsidRDefault="00A57EF7" w:rsidP="00A57EF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moins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125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développement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professionnel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14:paraId="2259466E" w14:textId="77777777" w:rsidR="00A57EF7" w:rsidRDefault="00A57EF7" w:rsidP="00A57EF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moins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10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d’évaluation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l’exercice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14:paraId="55EFAAEC" w14:textId="77777777" w:rsidR="00A57EF7" w:rsidRDefault="00A57EF7" w:rsidP="00A57EF7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6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kern w:val="1"/>
                <w:sz w:val="40"/>
                <w:szCs w:val="40"/>
              </w:rPr>
              <w:tab/>
            </w: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>›  </w:t>
            </w: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maximum 115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BBCBE"/>
              <w:bottom w:val="single" w:sz="8" w:space="0" w:color="BBBCBE"/>
              <w:right w:val="single" w:sz="8" w:space="0" w:color="BB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D0C14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250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(le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nombre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par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formation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est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variable,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selon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la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catégorie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et la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catégorie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), </w:t>
            </w:r>
            <w:proofErr w:type="spellStart"/>
            <w:proofErr w:type="gram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incluant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  <w:p w14:paraId="66454E21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0701E"/>
                <w:sz w:val="40"/>
                <w:szCs w:val="40"/>
              </w:rPr>
              <w:t xml:space="preserve">› </w:t>
            </w: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moins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125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certifiés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, sans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égard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à la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catégorie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</w:tr>
      <w:tr w:rsidR="00A57EF7" w14:paraId="47333DC0" w14:textId="77777777" w:rsidTr="00A57EF7">
        <w:tblPrEx>
          <w:tblBorders>
            <w:top w:val="none" w:sz="0" w:space="0" w:color="auto"/>
          </w:tblBorders>
        </w:tblPrEx>
        <w:tc>
          <w:tcPr>
            <w:tcW w:w="2215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3558E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Exigences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annuelles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D600DA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moins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25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heures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d’activités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de formation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reconnues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B83FC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Au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moins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25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crédits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activités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certifiées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ou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non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certifiées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) </w:t>
            </w:r>
          </w:p>
        </w:tc>
      </w:tr>
      <w:tr w:rsidR="00A57EF7" w14:paraId="1D9F11A6" w14:textId="77777777" w:rsidTr="00A57EF7">
        <w:tc>
          <w:tcPr>
            <w:tcW w:w="2215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4DB79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>Déclaration</w:t>
            </w:r>
            <w:proofErr w:type="spellEnd"/>
            <w:r>
              <w:rPr>
                <w:rFonts w:ascii="Times Roman" w:hAnsi="Times Roman" w:cs="Times Roman"/>
                <w:b/>
                <w:bCs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479EF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Déclaration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en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ligne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obligatoire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annuellement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  <w:tc>
          <w:tcPr>
            <w:tcW w:w="4401" w:type="dxa"/>
            <w:tcBorders>
              <w:top w:val="single" w:sz="8" w:space="0" w:color="BBBCBE"/>
              <w:left w:val="single" w:sz="8" w:space="0" w:color="BABCBE"/>
              <w:bottom w:val="single" w:sz="8" w:space="0" w:color="BBBCBE"/>
              <w:right w:val="single" w:sz="8" w:space="0" w:color="BABCBE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C2E2" w14:textId="77777777" w:rsidR="00A57EF7" w:rsidRDefault="00A57EF7" w:rsidP="00A57EF7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Déclaration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en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ligne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obligatoire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>annuellement</w:t>
            </w:r>
            <w:proofErr w:type="spellEnd"/>
            <w:r>
              <w:rPr>
                <w:rFonts w:ascii="Times Roman" w:hAnsi="Times Roman" w:cs="Times Roman"/>
                <w:color w:val="464749"/>
                <w:sz w:val="21"/>
                <w:szCs w:val="21"/>
              </w:rPr>
              <w:t xml:space="preserve"> </w:t>
            </w:r>
          </w:p>
        </w:tc>
      </w:tr>
    </w:tbl>
    <w:p w14:paraId="7A74D3F5" w14:textId="77777777" w:rsidR="00A57EF7" w:rsidRDefault="00A57EF7" w:rsidP="00A57EF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</w:p>
    <w:sectPr w:rsidR="00A57EF7" w:rsidSect="00A57EF7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F7"/>
    <w:rsid w:val="00110162"/>
    <w:rsid w:val="0037189F"/>
    <w:rsid w:val="0066045A"/>
    <w:rsid w:val="00A5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57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Macintosh Word</Application>
  <DocSecurity>0</DocSecurity>
  <Lines>11</Lines>
  <Paragraphs>3</Paragraphs>
  <ScaleCrop>false</ScaleCrop>
  <Company>McGill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rohan</dc:creator>
  <cp:keywords/>
  <dc:description/>
  <cp:lastModifiedBy>ivan rohan</cp:lastModifiedBy>
  <cp:revision>2</cp:revision>
  <dcterms:created xsi:type="dcterms:W3CDTF">2019-01-07T01:27:00Z</dcterms:created>
  <dcterms:modified xsi:type="dcterms:W3CDTF">2019-01-07T02:40:00Z</dcterms:modified>
</cp:coreProperties>
</file>