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19870" w14:textId="77777777" w:rsidR="00312688" w:rsidRPr="00312688" w:rsidRDefault="00312688" w:rsidP="00312688">
      <w:pPr>
        <w:jc w:val="center"/>
        <w:rPr>
          <w:rFonts w:ascii="Times New Roman" w:eastAsia="Calibri" w:hAnsi="Times New Roman" w:cs="Times New Roman"/>
          <w:b/>
          <w:bCs/>
          <w:color w:val="000000" w:themeColor="text1"/>
          <w:sz w:val="24"/>
          <w:szCs w:val="24"/>
        </w:rPr>
      </w:pPr>
      <w:bookmarkStart w:id="0" w:name="_Int_YGG9QqIR"/>
      <w:r w:rsidRPr="00312688">
        <w:rPr>
          <w:rFonts w:ascii="Times New Roman" w:eastAsia="Calibri" w:hAnsi="Times New Roman" w:cs="Times New Roman"/>
          <w:b/>
          <w:bCs/>
          <w:color w:val="000000" w:themeColor="text1"/>
          <w:sz w:val="24"/>
          <w:szCs w:val="24"/>
        </w:rPr>
        <w:t>Course Outline EDI Checklist</w:t>
      </w:r>
      <w:bookmarkEnd w:id="0"/>
    </w:p>
    <w:p w14:paraId="3251BE94" w14:textId="77777777" w:rsidR="00312688" w:rsidRPr="00312688" w:rsidRDefault="00312688" w:rsidP="00312688">
      <w:p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The goal of this document is to provide you with some concrete suggestions to make your course outlines, and subsequent courses, more equitable and inclusive. We are calling it a “Course Outline EDI Checklist” because we believe that an equitable and inclusive course begins in the planning phase, when you are building your course outline. However, you will notice that many of the suggestions extend beyond the course outline itself, and refer to practices that will take place during class time. </w:t>
      </w:r>
    </w:p>
    <w:p w14:paraId="05090EF5" w14:textId="77777777" w:rsidR="00312688" w:rsidRPr="00312688" w:rsidRDefault="00312688" w:rsidP="00312688">
      <w:p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We suggest the following steps for using this resource:</w:t>
      </w:r>
    </w:p>
    <w:p w14:paraId="478F8E27" w14:textId="77777777" w:rsidR="00312688" w:rsidRPr="00312688" w:rsidRDefault="00312688" w:rsidP="00312688">
      <w:pPr>
        <w:pStyle w:val="ListParagraph"/>
        <w:numPr>
          <w:ilvl w:val="0"/>
          <w:numId w:val="2"/>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Read through the document to familiarize yourself with the general EDI considerations and to give yourself some ideas before actually beginning to design or update your course outline.</w:t>
      </w:r>
    </w:p>
    <w:p w14:paraId="694D58C0" w14:textId="77777777" w:rsidR="00312688" w:rsidRPr="00312688" w:rsidRDefault="00312688" w:rsidP="00312688">
      <w:pPr>
        <w:pStyle w:val="ListParagraph"/>
        <w:numPr>
          <w:ilvl w:val="0"/>
          <w:numId w:val="2"/>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Go through the checklist a second time, pausing at each suggestion to ask yourself: do you do this? Is it clearly indicated in the course outline? If not, can you make those revisions? Use the notes column to jot down any challenges, questions, or hesitancies you have. If you read through the checklist and do everything listed, great! Keep up the good work!</w:t>
      </w:r>
    </w:p>
    <w:p w14:paraId="5752B988" w14:textId="77777777" w:rsidR="00312688" w:rsidRPr="00312688" w:rsidRDefault="00312688" w:rsidP="00312688">
      <w:pPr>
        <w:pStyle w:val="ListParagraph"/>
        <w:numPr>
          <w:ilvl w:val="0"/>
          <w:numId w:val="2"/>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If you’d like to discuss your course outline, any of the suggestions, or any questions or challenges you had while going through the checklist, reach out to </w:t>
      </w:r>
      <w:hyperlink r:id="rId11">
        <w:r w:rsidRPr="00312688">
          <w:rPr>
            <w:rStyle w:val="Hyperlink"/>
            <w:rFonts w:ascii="Times New Roman" w:eastAsia="Calibri" w:hAnsi="Times New Roman" w:cs="Times New Roman"/>
            <w:sz w:val="24"/>
            <w:szCs w:val="24"/>
          </w:rPr>
          <w:t>TLS.mgmt@mcgill.ca</w:t>
        </w:r>
      </w:hyperlink>
      <w:r w:rsidRPr="00312688">
        <w:rPr>
          <w:rFonts w:ascii="Times New Roman" w:eastAsia="Calibri" w:hAnsi="Times New Roman" w:cs="Times New Roman"/>
          <w:color w:val="000000" w:themeColor="text1"/>
          <w:sz w:val="24"/>
          <w:szCs w:val="24"/>
        </w:rPr>
        <w:t xml:space="preserve"> to schedule a time to discuss. </w:t>
      </w:r>
    </w:p>
    <w:p w14:paraId="1BA472F2" w14:textId="77777777" w:rsidR="00312688" w:rsidRPr="00312688" w:rsidRDefault="00312688" w:rsidP="00312688">
      <w:pPr>
        <w:pStyle w:val="ListParagraph"/>
        <w:numPr>
          <w:ilvl w:val="0"/>
          <w:numId w:val="2"/>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You may also opt to meet with Tatiana, EDI Associate, to discuss your course outline or course in general. </w:t>
      </w:r>
    </w:p>
    <w:p w14:paraId="0EDA6DE8" w14:textId="77777777" w:rsidR="00312688" w:rsidRPr="00312688" w:rsidRDefault="00312688" w:rsidP="00312688">
      <w:pPr>
        <w:pStyle w:val="ListParagraph"/>
        <w:numPr>
          <w:ilvl w:val="0"/>
          <w:numId w:val="2"/>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Check out other EDI-related workshops and resources at the </w:t>
      </w:r>
      <w:hyperlink r:id="rId12">
        <w:r w:rsidRPr="00312688">
          <w:rPr>
            <w:rStyle w:val="Hyperlink"/>
            <w:rFonts w:ascii="Times New Roman" w:eastAsia="Calibri" w:hAnsi="Times New Roman" w:cs="Times New Roman"/>
            <w:sz w:val="24"/>
            <w:szCs w:val="24"/>
          </w:rPr>
          <w:t>Equity Office</w:t>
        </w:r>
      </w:hyperlink>
      <w:r w:rsidRPr="00312688">
        <w:rPr>
          <w:rFonts w:ascii="Times New Roman" w:eastAsia="Calibri" w:hAnsi="Times New Roman" w:cs="Times New Roman"/>
          <w:color w:val="000000" w:themeColor="text1"/>
          <w:sz w:val="24"/>
          <w:szCs w:val="24"/>
        </w:rPr>
        <w:t xml:space="preserve"> to continue learning.</w:t>
      </w:r>
    </w:p>
    <w:p w14:paraId="46BCEC21" w14:textId="53BA1270" w:rsidR="00312688" w:rsidRDefault="00312688" w:rsidP="00312688">
      <w:pPr>
        <w:rPr>
          <w:rFonts w:ascii="Times New Roman" w:eastAsia="Calibri" w:hAnsi="Times New Roman" w:cs="Times New Roman"/>
          <w:b/>
          <w:bCs/>
          <w:sz w:val="24"/>
          <w:szCs w:val="24"/>
        </w:rPr>
      </w:pPr>
      <w:r w:rsidRPr="00312688">
        <w:rPr>
          <w:rFonts w:ascii="Times New Roman" w:eastAsia="Calibri" w:hAnsi="Times New Roman" w:cs="Times New Roman"/>
          <w:b/>
          <w:bCs/>
          <w:sz w:val="24"/>
          <w:szCs w:val="24"/>
        </w:rPr>
        <w:t xml:space="preserve">Feeling overwhelmed? It’s okay, you can start by identifying one or two items to improve, change, or revise and focus on those. Any change will be better than nothing at all. </w:t>
      </w:r>
    </w:p>
    <w:p w14:paraId="24623C0A" w14:textId="77777777" w:rsidR="00312688" w:rsidRPr="00312688" w:rsidRDefault="00312688" w:rsidP="00312688">
      <w:pPr>
        <w:rPr>
          <w:rFonts w:ascii="Times New Roman" w:eastAsia="Calibri" w:hAnsi="Times New Roman" w:cs="Times New Roman"/>
          <w:b/>
          <w:bCs/>
          <w:sz w:val="24"/>
          <w:szCs w:val="24"/>
        </w:rPr>
      </w:pPr>
    </w:p>
    <w:p w14:paraId="58BB946A" w14:textId="77777777" w:rsidR="00312688" w:rsidRPr="00312688" w:rsidRDefault="00312688" w:rsidP="00312688">
      <w:pPr>
        <w:jc w:val="center"/>
        <w:rPr>
          <w:rFonts w:ascii="Times New Roman" w:eastAsia="Calibri" w:hAnsi="Times New Roman" w:cs="Times New Roman"/>
          <w:b/>
          <w:bCs/>
          <w:sz w:val="24"/>
          <w:szCs w:val="24"/>
        </w:rPr>
      </w:pPr>
      <w:r w:rsidRPr="00312688">
        <w:rPr>
          <w:rFonts w:ascii="Times New Roman" w:eastAsia="Calibri" w:hAnsi="Times New Roman" w:cs="Times New Roman"/>
          <w:b/>
          <w:bCs/>
          <w:sz w:val="24"/>
          <w:szCs w:val="24"/>
        </w:rPr>
        <w:t>What is Equity, Diversity, and Inclusion?</w:t>
      </w:r>
    </w:p>
    <w:p w14:paraId="2F398BF6" w14:textId="77777777" w:rsidR="00312688" w:rsidRPr="00312688" w:rsidRDefault="00312688" w:rsidP="00312688">
      <w:p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The objective of this document is to allow instructors to improve equity and inclusion in the context of their courses, starting with what to include in their course outlines. However, a common understanding of the concepts of equity, diversity, and inclusion is needed as a basis to better understand this tool. We took the definitions included in </w:t>
      </w:r>
      <w:hyperlink r:id="rId13">
        <w:r w:rsidRPr="00312688">
          <w:rPr>
            <w:rStyle w:val="Hyperlink"/>
            <w:rFonts w:ascii="Times New Roman" w:eastAsia="Calibri" w:hAnsi="Times New Roman" w:cs="Times New Roman"/>
            <w:sz w:val="24"/>
            <w:szCs w:val="24"/>
          </w:rPr>
          <w:t>McGill’s Strategic EDI plan</w:t>
        </w:r>
      </w:hyperlink>
      <w:r w:rsidRPr="00312688">
        <w:rPr>
          <w:rFonts w:ascii="Times New Roman" w:eastAsia="Calibri" w:hAnsi="Times New Roman" w:cs="Times New Roman"/>
          <w:color w:val="000000" w:themeColor="text1"/>
          <w:sz w:val="24"/>
          <w:szCs w:val="24"/>
        </w:rPr>
        <w:t xml:space="preserve"> to foster a common understanding of these terms. </w:t>
      </w:r>
    </w:p>
    <w:p w14:paraId="4DBB33F5" w14:textId="77777777" w:rsidR="00312688" w:rsidRPr="00312688" w:rsidRDefault="00312688" w:rsidP="00312688">
      <w:pPr>
        <w:pStyle w:val="ListParagraph"/>
        <w:numPr>
          <w:ilvl w:val="0"/>
          <w:numId w:val="3"/>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b/>
          <w:bCs/>
          <w:i/>
          <w:iCs/>
          <w:color w:val="000000" w:themeColor="text1"/>
          <w:sz w:val="24"/>
          <w:szCs w:val="24"/>
        </w:rPr>
        <w:t>Equity</w:t>
      </w:r>
      <w:r w:rsidRPr="00312688">
        <w:rPr>
          <w:rFonts w:ascii="Times New Roman" w:eastAsia="Calibri" w:hAnsi="Times New Roman" w:cs="Times New Roman"/>
          <w:i/>
          <w:iCs/>
          <w:color w:val="000000" w:themeColor="text1"/>
          <w:sz w:val="24"/>
          <w:szCs w:val="24"/>
        </w:rPr>
        <w:t>, unlike the notion of equality, is not about sameness of treatment. It denotes fairness and justice in process and in results. Equitable outcomes often require differential treatment and resource redistribution to achieve a level playing field among all individuals and communities. This requires recognizing and addressing barriers to opportunities for all to thrive in our University environment.</w:t>
      </w:r>
      <w:r w:rsidRPr="00312688">
        <w:rPr>
          <w:rFonts w:ascii="Times New Roman" w:eastAsia="Calibri" w:hAnsi="Times New Roman" w:cs="Times New Roman"/>
          <w:color w:val="000000" w:themeColor="text1"/>
          <w:sz w:val="24"/>
          <w:szCs w:val="24"/>
        </w:rPr>
        <w:t xml:space="preserve"> In the context of this tool, thriving for equity involves considering how certain details about the design and delivery of our courses can create barriers to achieving success. </w:t>
      </w:r>
    </w:p>
    <w:p w14:paraId="21C524CF" w14:textId="77777777" w:rsidR="00312688" w:rsidRPr="00312688" w:rsidRDefault="00312688" w:rsidP="00312688">
      <w:pPr>
        <w:pStyle w:val="ListParagraph"/>
        <w:numPr>
          <w:ilvl w:val="0"/>
          <w:numId w:val="3"/>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b/>
          <w:bCs/>
          <w:i/>
          <w:iCs/>
          <w:color w:val="000000" w:themeColor="text1"/>
          <w:sz w:val="24"/>
          <w:szCs w:val="24"/>
        </w:rPr>
        <w:t xml:space="preserve">Inclusion </w:t>
      </w:r>
      <w:r w:rsidRPr="00312688">
        <w:rPr>
          <w:rFonts w:ascii="Times New Roman" w:eastAsia="Calibri" w:hAnsi="Times New Roman" w:cs="Times New Roman"/>
          <w:i/>
          <w:iCs/>
          <w:color w:val="000000" w:themeColor="text1"/>
          <w:sz w:val="24"/>
          <w:szCs w:val="24"/>
        </w:rPr>
        <w:t xml:space="preserve">refers to the notion of belonging, feeling welcome and valued, having a sense of citizenship. It also speaks to a capacity to engage and succeed in a given institution, program, or setting. Inclusion </w:t>
      </w:r>
      <w:r w:rsidRPr="00312688">
        <w:rPr>
          <w:rFonts w:ascii="Times New Roman" w:eastAsia="Calibri" w:hAnsi="Times New Roman" w:cs="Times New Roman"/>
          <w:i/>
          <w:iCs/>
          <w:color w:val="000000" w:themeColor="text1"/>
          <w:sz w:val="24"/>
          <w:szCs w:val="24"/>
        </w:rPr>
        <w:lastRenderedPageBreak/>
        <w:t xml:space="preserve">calls for recognizing, reducing, and removing barriers to participation created by social disadvantage or oppression, and can result in the reimagination of an institution, program, or setting. </w:t>
      </w:r>
      <w:r w:rsidRPr="00312688">
        <w:rPr>
          <w:rFonts w:ascii="Times New Roman" w:eastAsia="Calibri" w:hAnsi="Times New Roman" w:cs="Times New Roman"/>
          <w:color w:val="000000" w:themeColor="text1"/>
          <w:sz w:val="24"/>
          <w:szCs w:val="24"/>
        </w:rPr>
        <w:t xml:space="preserve">Therefore, in the context of this tool, we are aiming to design courses that create an environment in which all students feel a sense of belonging, feel valued, and feel comfortable to fully participate in the course. Such an environment would acknowledge and welcome different student identities and diverse understandings of knowledge. </w:t>
      </w:r>
    </w:p>
    <w:p w14:paraId="63EC4C8D" w14:textId="15160F7F" w:rsidR="00312688" w:rsidRPr="00312688" w:rsidRDefault="00312688" w:rsidP="00312688">
      <w:pPr>
        <w:pStyle w:val="ListParagraph"/>
        <w:numPr>
          <w:ilvl w:val="0"/>
          <w:numId w:val="3"/>
        </w:numPr>
        <w:rPr>
          <w:rFonts w:ascii="Times New Roman" w:hAnsi="Times New Roman" w:cs="Times New Roman"/>
          <w:i/>
          <w:iCs/>
          <w:sz w:val="24"/>
          <w:szCs w:val="24"/>
        </w:rPr>
      </w:pPr>
      <w:r w:rsidRPr="00312688">
        <w:rPr>
          <w:rFonts w:ascii="Times New Roman" w:hAnsi="Times New Roman" w:cs="Times New Roman"/>
          <w:b/>
          <w:bCs/>
          <w:i/>
          <w:iCs/>
          <w:sz w:val="24"/>
          <w:szCs w:val="24"/>
        </w:rPr>
        <w:t xml:space="preserve">Diversity </w:t>
      </w:r>
      <w:r w:rsidRPr="00312688">
        <w:rPr>
          <w:rFonts w:ascii="Times New Roman" w:hAnsi="Times New Roman" w:cs="Times New Roman"/>
          <w:i/>
          <w:iCs/>
          <w:sz w:val="24"/>
          <w:szCs w:val="24"/>
        </w:rPr>
        <w:t>describes the presence of difference within any collection of people. In discussions of social equity, diversity addresses differences in social group membership related, for example, to race, Indigenous identity, class, gender identity or expression, sexuality, disability, ethnicity, and religion. Discussions about diversity linked to access and equity require knowledge and understanding of historical and contemporary experiences of oppression and exclusion.</w:t>
      </w:r>
    </w:p>
    <w:p w14:paraId="7B41A5E5" w14:textId="77777777" w:rsidR="00312688" w:rsidRPr="00312688" w:rsidRDefault="00312688" w:rsidP="00312688">
      <w:pPr>
        <w:jc w:val="center"/>
        <w:rPr>
          <w:rFonts w:ascii="Times New Roman" w:eastAsia="Calibri" w:hAnsi="Times New Roman" w:cs="Times New Roman"/>
          <w:color w:val="000000" w:themeColor="text1"/>
          <w:sz w:val="24"/>
          <w:szCs w:val="24"/>
        </w:rPr>
      </w:pPr>
      <w:r w:rsidRPr="00312688">
        <w:rPr>
          <w:rFonts w:ascii="Times New Roman" w:eastAsia="Calibri" w:hAnsi="Times New Roman" w:cs="Times New Roman"/>
          <w:b/>
          <w:bCs/>
          <w:color w:val="000000" w:themeColor="text1"/>
          <w:sz w:val="24"/>
          <w:szCs w:val="24"/>
        </w:rPr>
        <w:t>Checklist</w:t>
      </w:r>
    </w:p>
    <w:tbl>
      <w:tblPr>
        <w:tblStyle w:val="TableGrid"/>
        <w:tblW w:w="0" w:type="auto"/>
        <w:tblLayout w:type="fixed"/>
        <w:tblLook w:val="06A0" w:firstRow="1" w:lastRow="0" w:firstColumn="1" w:lastColumn="0" w:noHBand="1" w:noVBand="1"/>
      </w:tblPr>
      <w:tblGrid>
        <w:gridCol w:w="3105"/>
        <w:gridCol w:w="4833"/>
        <w:gridCol w:w="2970"/>
      </w:tblGrid>
      <w:tr w:rsidR="00312688" w:rsidRPr="00312688" w14:paraId="2F0EA5D3" w14:textId="77777777" w:rsidTr="00312688">
        <w:trPr>
          <w:trHeight w:val="300"/>
        </w:trPr>
        <w:tc>
          <w:tcPr>
            <w:tcW w:w="3105" w:type="dxa"/>
          </w:tcPr>
          <w:p w14:paraId="208638E1" w14:textId="77777777" w:rsidR="00312688" w:rsidRPr="00312688" w:rsidRDefault="00312688" w:rsidP="00312688">
            <w:pPr>
              <w:spacing w:line="259" w:lineRule="auto"/>
              <w:jc w:val="center"/>
              <w:rPr>
                <w:rFonts w:ascii="Times New Roman" w:eastAsia="Calibri" w:hAnsi="Times New Roman" w:cs="Times New Roman"/>
              </w:rPr>
            </w:pPr>
            <w:r w:rsidRPr="00312688">
              <w:rPr>
                <w:rFonts w:ascii="Times New Roman" w:eastAsia="Calibri" w:hAnsi="Times New Roman" w:cs="Times New Roman"/>
                <w:lang w:val="en-US"/>
              </w:rPr>
              <w:t>Recommendation</w:t>
            </w:r>
          </w:p>
        </w:tc>
        <w:tc>
          <w:tcPr>
            <w:tcW w:w="4833" w:type="dxa"/>
          </w:tcPr>
          <w:p w14:paraId="5840DEC9" w14:textId="77777777" w:rsidR="00312688" w:rsidRPr="00312688" w:rsidRDefault="00312688" w:rsidP="00312688">
            <w:pPr>
              <w:spacing w:line="259" w:lineRule="auto"/>
              <w:jc w:val="center"/>
              <w:rPr>
                <w:rFonts w:ascii="Times New Roman" w:eastAsia="Calibri" w:hAnsi="Times New Roman" w:cs="Times New Roman"/>
              </w:rPr>
            </w:pPr>
            <w:r w:rsidRPr="00312688">
              <w:rPr>
                <w:rFonts w:ascii="Times New Roman" w:eastAsia="Calibri" w:hAnsi="Times New Roman" w:cs="Times New Roman"/>
                <w:lang w:val="en-US"/>
              </w:rPr>
              <w:t>Consideration—rationale behind the recommendation</w:t>
            </w:r>
          </w:p>
        </w:tc>
        <w:tc>
          <w:tcPr>
            <w:tcW w:w="2970" w:type="dxa"/>
          </w:tcPr>
          <w:p w14:paraId="4BAFB70F" w14:textId="77777777" w:rsidR="00312688" w:rsidRPr="00312688" w:rsidRDefault="00312688" w:rsidP="00312688">
            <w:pPr>
              <w:spacing w:line="259" w:lineRule="auto"/>
              <w:jc w:val="center"/>
              <w:rPr>
                <w:rFonts w:ascii="Times New Roman" w:eastAsia="Calibri" w:hAnsi="Times New Roman" w:cs="Times New Roman"/>
              </w:rPr>
            </w:pPr>
            <w:r w:rsidRPr="00312688">
              <w:rPr>
                <w:rFonts w:ascii="Times New Roman" w:eastAsia="Calibri" w:hAnsi="Times New Roman" w:cs="Times New Roman"/>
                <w:lang w:val="en-US"/>
              </w:rPr>
              <w:t>Notes for changes</w:t>
            </w:r>
          </w:p>
        </w:tc>
      </w:tr>
      <w:tr w:rsidR="00312688" w:rsidRPr="00312688" w14:paraId="6D546763" w14:textId="77777777" w:rsidTr="00312688">
        <w:trPr>
          <w:trHeight w:val="300"/>
        </w:trPr>
        <w:tc>
          <w:tcPr>
            <w:tcW w:w="10908" w:type="dxa"/>
            <w:gridSpan w:val="3"/>
            <w:shd w:val="clear" w:color="auto" w:fill="95B3D7" w:themeFill="accent1" w:themeFillTint="99"/>
          </w:tcPr>
          <w:p w14:paraId="5FFC4E4A" w14:textId="77777777" w:rsidR="00312688" w:rsidRPr="00312688" w:rsidRDefault="00312688" w:rsidP="00312688">
            <w:pPr>
              <w:spacing w:line="259" w:lineRule="auto"/>
              <w:jc w:val="center"/>
              <w:rPr>
                <w:rFonts w:ascii="Times New Roman" w:eastAsia="Calibri" w:hAnsi="Times New Roman" w:cs="Times New Roman"/>
              </w:rPr>
            </w:pPr>
            <w:r w:rsidRPr="00312688">
              <w:rPr>
                <w:rFonts w:ascii="Times New Roman" w:eastAsia="Calibri" w:hAnsi="Times New Roman" w:cs="Times New Roman"/>
                <w:lang w:val="en-US"/>
              </w:rPr>
              <w:t>Learning Outcomes</w:t>
            </w:r>
          </w:p>
        </w:tc>
      </w:tr>
      <w:tr w:rsidR="00312688" w:rsidRPr="00312688" w14:paraId="7CB21B65" w14:textId="77777777" w:rsidTr="00312688">
        <w:trPr>
          <w:trHeight w:val="300"/>
        </w:trPr>
        <w:tc>
          <w:tcPr>
            <w:tcW w:w="3105" w:type="dxa"/>
            <w:shd w:val="clear" w:color="auto" w:fill="DBE5F1" w:themeFill="accent1" w:themeFillTint="33"/>
          </w:tcPr>
          <w:p w14:paraId="5A0F407E" w14:textId="77777777" w:rsidR="00312688" w:rsidRPr="00312688" w:rsidRDefault="00312688" w:rsidP="00312688">
            <w:pPr>
              <w:spacing w:line="259" w:lineRule="auto"/>
              <w:rPr>
                <w:rFonts w:ascii="Times New Roman" w:eastAsia="Calibri" w:hAnsi="Times New Roman" w:cs="Times New Roman"/>
              </w:rPr>
            </w:pPr>
            <w:r w:rsidRPr="00312688">
              <w:rPr>
                <w:rFonts w:ascii="Times New Roman" w:eastAsia="Calibri" w:hAnsi="Times New Roman" w:cs="Times New Roman"/>
                <w:lang w:val="en-US"/>
              </w:rPr>
              <w:t>Learning outcomes are clear and communicated on syllabus</w:t>
            </w:r>
          </w:p>
        </w:tc>
        <w:tc>
          <w:tcPr>
            <w:tcW w:w="4833" w:type="dxa"/>
            <w:shd w:val="clear" w:color="auto" w:fill="DBE5F1" w:themeFill="accent1" w:themeFillTint="33"/>
          </w:tcPr>
          <w:p w14:paraId="162A019C" w14:textId="4AA0E6F1" w:rsidR="00312688" w:rsidRPr="00312688" w:rsidRDefault="00312688" w:rsidP="00312688">
            <w:pPr>
              <w:spacing w:line="259" w:lineRule="auto"/>
              <w:rPr>
                <w:rFonts w:ascii="Times New Roman" w:eastAsia="Calibri" w:hAnsi="Times New Roman" w:cs="Times New Roman"/>
              </w:rPr>
            </w:pPr>
            <w:r w:rsidRPr="00312688">
              <w:rPr>
                <w:rFonts w:ascii="Times New Roman" w:eastAsia="Calibri" w:hAnsi="Times New Roman" w:cs="Times New Roman"/>
                <w:lang w:val="en-US"/>
              </w:rPr>
              <w:t>Equity Considerations: This helps guide expectations for the course. These learning outcomes will be what you ultimately assess your students on, so having explicit outcomes will enable you to directly assess the stated outcomes. It will also help limit biases and subjectivity when developing grading criteria for those assessments and when doing the actual grading.</w:t>
            </w:r>
          </w:p>
        </w:tc>
        <w:tc>
          <w:tcPr>
            <w:tcW w:w="2970" w:type="dxa"/>
            <w:shd w:val="clear" w:color="auto" w:fill="DBE5F1" w:themeFill="accent1" w:themeFillTint="33"/>
          </w:tcPr>
          <w:p w14:paraId="648C7D5C" w14:textId="77777777" w:rsidR="00312688" w:rsidRPr="00312688" w:rsidRDefault="00312688" w:rsidP="00312688">
            <w:pPr>
              <w:spacing w:line="259" w:lineRule="auto"/>
              <w:jc w:val="center"/>
              <w:rPr>
                <w:rFonts w:ascii="Times New Roman" w:eastAsia="Calibri" w:hAnsi="Times New Roman" w:cs="Times New Roman"/>
              </w:rPr>
            </w:pPr>
          </w:p>
        </w:tc>
      </w:tr>
      <w:tr w:rsidR="00312688" w:rsidRPr="00312688" w14:paraId="3D6936EF" w14:textId="77777777" w:rsidTr="00312688">
        <w:trPr>
          <w:trHeight w:val="300"/>
        </w:trPr>
        <w:tc>
          <w:tcPr>
            <w:tcW w:w="3105" w:type="dxa"/>
            <w:shd w:val="clear" w:color="auto" w:fill="DBE5F1" w:themeFill="accent1" w:themeFillTint="33"/>
          </w:tcPr>
          <w:p w14:paraId="57D1DDE3"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There are no “hidden” learning outcomes (e.g. “presentation skills” will be assessed, but are not listed among learning outcome</w:t>
            </w:r>
            <w:r w:rsidRPr="00312688">
              <w:rPr>
                <w:rFonts w:ascii="Times New Roman" w:eastAsia="Calibri" w:hAnsi="Times New Roman" w:cs="Times New Roman"/>
              </w:rPr>
              <w:t xml:space="preserve">s) </w:t>
            </w:r>
          </w:p>
        </w:tc>
        <w:tc>
          <w:tcPr>
            <w:tcW w:w="4833" w:type="dxa"/>
            <w:shd w:val="clear" w:color="auto" w:fill="DBE5F1" w:themeFill="accent1" w:themeFillTint="33"/>
          </w:tcPr>
          <w:p w14:paraId="293A3265"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All students don’t all start with the same levels of comfort towards certain types of skills required from them to succeed in the class (e.g. presentation skills, oral and written English communication, etc.) Therefore, it is important they are explicitly made aware from the start that they will need to develop and utilize those skills. </w:t>
            </w:r>
          </w:p>
        </w:tc>
        <w:tc>
          <w:tcPr>
            <w:tcW w:w="2970" w:type="dxa"/>
            <w:shd w:val="clear" w:color="auto" w:fill="DBE5F1" w:themeFill="accent1" w:themeFillTint="33"/>
          </w:tcPr>
          <w:p w14:paraId="38AC19DE"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2DF555B9" w14:textId="77777777" w:rsidTr="00312688">
        <w:trPr>
          <w:trHeight w:val="300"/>
        </w:trPr>
        <w:tc>
          <w:tcPr>
            <w:tcW w:w="3105" w:type="dxa"/>
            <w:shd w:val="clear" w:color="auto" w:fill="DBE5F1" w:themeFill="accent1" w:themeFillTint="33"/>
          </w:tcPr>
          <w:p w14:paraId="086D4E23"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Previous knowledge and skills required to meet learning outcomes are clearly communicated on syllabus.</w:t>
            </w:r>
          </w:p>
        </w:tc>
        <w:tc>
          <w:tcPr>
            <w:tcW w:w="4833" w:type="dxa"/>
            <w:shd w:val="clear" w:color="auto" w:fill="DBE5F1" w:themeFill="accent1" w:themeFillTint="33"/>
          </w:tcPr>
          <w:p w14:paraId="645B49FD"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We can’t assume with </w:t>
            </w:r>
            <w:r w:rsidRPr="00312688">
              <w:rPr>
                <w:rFonts w:ascii="Times New Roman" w:eastAsia="Calibri" w:hAnsi="Times New Roman" w:cs="Times New Roman"/>
              </w:rPr>
              <w:t xml:space="preserve">certainty </w:t>
            </w:r>
            <w:r w:rsidRPr="00312688">
              <w:rPr>
                <w:rFonts w:ascii="Times New Roman" w:eastAsia="Calibri" w:hAnsi="Times New Roman" w:cs="Times New Roman"/>
                <w:lang w:val="en-US"/>
              </w:rPr>
              <w:t xml:space="preserve">that all students already have this previous knowledge or skills. By explicitly stating it on the syllabus, students can see if they are lacking some required knowledge and skills and reach out to get more support in this regard.  </w:t>
            </w:r>
          </w:p>
        </w:tc>
        <w:tc>
          <w:tcPr>
            <w:tcW w:w="2970" w:type="dxa"/>
            <w:shd w:val="clear" w:color="auto" w:fill="DBE5F1" w:themeFill="accent1" w:themeFillTint="33"/>
          </w:tcPr>
          <w:p w14:paraId="1D324E5F"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1E9A268F" w14:textId="77777777" w:rsidTr="00312688">
        <w:trPr>
          <w:trHeight w:val="300"/>
        </w:trPr>
        <w:tc>
          <w:tcPr>
            <w:tcW w:w="10908" w:type="dxa"/>
            <w:gridSpan w:val="3"/>
            <w:shd w:val="clear" w:color="auto" w:fill="FABF8F" w:themeFill="accent6" w:themeFillTint="99"/>
          </w:tcPr>
          <w:p w14:paraId="37E6716D" w14:textId="77777777" w:rsidR="00312688" w:rsidRPr="00312688" w:rsidRDefault="00312688" w:rsidP="00443A34">
            <w:pPr>
              <w:spacing w:line="259" w:lineRule="auto"/>
              <w:jc w:val="center"/>
              <w:rPr>
                <w:rFonts w:ascii="Times New Roman" w:eastAsia="Calibri" w:hAnsi="Times New Roman" w:cs="Times New Roman"/>
              </w:rPr>
            </w:pPr>
            <w:r w:rsidRPr="00312688">
              <w:rPr>
                <w:rFonts w:ascii="Times New Roman" w:eastAsia="Calibri" w:hAnsi="Times New Roman" w:cs="Times New Roman"/>
                <w:lang w:val="en-US"/>
              </w:rPr>
              <w:lastRenderedPageBreak/>
              <w:t>Communications</w:t>
            </w:r>
          </w:p>
        </w:tc>
      </w:tr>
      <w:tr w:rsidR="00312688" w:rsidRPr="00312688" w14:paraId="611B0E63" w14:textId="77777777" w:rsidTr="00312688">
        <w:trPr>
          <w:trHeight w:val="300"/>
        </w:trPr>
        <w:tc>
          <w:tcPr>
            <w:tcW w:w="3105" w:type="dxa"/>
            <w:shd w:val="clear" w:color="auto" w:fill="FDE9D9" w:themeFill="accent6" w:themeFillTint="33"/>
          </w:tcPr>
          <w:p w14:paraId="1AC60C20"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Include information about how to reach you and expectations around how quickly you will respond (e.g. “expect a response within 48 hours; if you do not receive a response by then, resend email”) </w:t>
            </w:r>
          </w:p>
        </w:tc>
        <w:tc>
          <w:tcPr>
            <w:tcW w:w="4833" w:type="dxa"/>
            <w:shd w:val="clear" w:color="auto" w:fill="FDE9D9" w:themeFill="accent6" w:themeFillTint="33"/>
          </w:tcPr>
          <w:p w14:paraId="3ACBE8BD" w14:textId="6871CD3C"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Equity considerations: Not all students are aware that it is okay to follow-up with instructors if there is no answer. Not all are aware of communication norms. Inclusion consideration: if you gave a 48h expected delay</w:t>
            </w:r>
            <w:r>
              <w:rPr>
                <w:rFonts w:ascii="Times New Roman" w:eastAsia="Calibri" w:hAnsi="Times New Roman" w:cs="Times New Roman"/>
                <w:lang w:val="en-US"/>
              </w:rPr>
              <w:t xml:space="preserve"> </w:t>
            </w:r>
            <w:r w:rsidRPr="00312688">
              <w:rPr>
                <w:rFonts w:ascii="Times New Roman" w:eastAsia="Calibri" w:hAnsi="Times New Roman" w:cs="Times New Roman"/>
                <w:lang w:val="en-US"/>
              </w:rPr>
              <w:t xml:space="preserve">and a student doesn’t hear from you in 24h, they won’t think it’s because you are dismissing them, or think they aren’t important. </w:t>
            </w:r>
          </w:p>
        </w:tc>
        <w:tc>
          <w:tcPr>
            <w:tcW w:w="2970" w:type="dxa"/>
            <w:shd w:val="clear" w:color="auto" w:fill="FDE9D9" w:themeFill="accent6" w:themeFillTint="33"/>
          </w:tcPr>
          <w:p w14:paraId="3BAC6E95"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190329E6" w14:textId="77777777" w:rsidTr="00312688">
        <w:trPr>
          <w:trHeight w:val="2400"/>
        </w:trPr>
        <w:tc>
          <w:tcPr>
            <w:tcW w:w="3105" w:type="dxa"/>
            <w:shd w:val="clear" w:color="auto" w:fill="FDE9D9" w:themeFill="accent6" w:themeFillTint="33"/>
          </w:tcPr>
          <w:p w14:paraId="6603D802"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Office hours are clearly listed. Include information about what a student should do if they cannot attend your office hours (e.g. schedule another time to meet, meet remotely, attend another instructor’s office hours).  </w:t>
            </w:r>
          </w:p>
        </w:tc>
        <w:tc>
          <w:tcPr>
            <w:tcW w:w="4833" w:type="dxa"/>
            <w:shd w:val="clear" w:color="auto" w:fill="FDE9D9" w:themeFill="accent6" w:themeFillTint="33"/>
          </w:tcPr>
          <w:p w14:paraId="3C82C215"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Not all students are aware that they are allowed to reschedule or book another time with you outside office hours, and therefore wouldn’t necessarily ask for it even if they really need it. </w:t>
            </w:r>
          </w:p>
        </w:tc>
        <w:tc>
          <w:tcPr>
            <w:tcW w:w="2970" w:type="dxa"/>
            <w:shd w:val="clear" w:color="auto" w:fill="FDE9D9" w:themeFill="accent6" w:themeFillTint="33"/>
          </w:tcPr>
          <w:p w14:paraId="7F5C750B"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0A776DD3" w14:textId="77777777" w:rsidTr="00312688">
        <w:trPr>
          <w:trHeight w:val="300"/>
        </w:trPr>
        <w:tc>
          <w:tcPr>
            <w:tcW w:w="3105" w:type="dxa"/>
            <w:shd w:val="clear" w:color="auto" w:fill="FDE9D9" w:themeFill="accent6" w:themeFillTint="33"/>
          </w:tcPr>
          <w:p w14:paraId="296B1C9F"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Consider including or speaking about what can be discussed in office hours and why students may attend them. </w:t>
            </w:r>
          </w:p>
        </w:tc>
        <w:tc>
          <w:tcPr>
            <w:tcW w:w="4833" w:type="dxa"/>
            <w:shd w:val="clear" w:color="auto" w:fill="FDE9D9" w:themeFill="accent6" w:themeFillTint="33"/>
          </w:tcPr>
          <w:p w14:paraId="0D35BEDB"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Not all students are aware of how to effectively use office hours, therefore may not use them, which can greatly impact their success and grades in your course. </w:t>
            </w:r>
          </w:p>
        </w:tc>
        <w:tc>
          <w:tcPr>
            <w:tcW w:w="2970" w:type="dxa"/>
            <w:shd w:val="clear" w:color="auto" w:fill="FDE9D9" w:themeFill="accent6" w:themeFillTint="33"/>
          </w:tcPr>
          <w:p w14:paraId="61E788C9"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57F47124" w14:textId="77777777" w:rsidTr="00312688">
        <w:trPr>
          <w:trHeight w:val="300"/>
        </w:trPr>
        <w:tc>
          <w:tcPr>
            <w:tcW w:w="3105" w:type="dxa"/>
            <w:shd w:val="clear" w:color="auto" w:fill="FDE9D9" w:themeFill="accent6" w:themeFillTint="33"/>
          </w:tcPr>
          <w:p w14:paraId="22BCF339"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Communicate important course information in written format (myCourses and/or email), even if you make an announcement in class. </w:t>
            </w:r>
          </w:p>
        </w:tc>
        <w:tc>
          <w:tcPr>
            <w:tcW w:w="4833" w:type="dxa"/>
            <w:shd w:val="clear" w:color="auto" w:fill="FDE9D9" w:themeFill="accent6" w:themeFillTint="33"/>
          </w:tcPr>
          <w:p w14:paraId="45CB94B1"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for various valid reasons (personal, family obligations, professional obligations), students may need to miss a class and would be penalized should they miss the class in which you communicated important information. This can put them at a disadvantage in your course. </w:t>
            </w:r>
          </w:p>
        </w:tc>
        <w:tc>
          <w:tcPr>
            <w:tcW w:w="2970" w:type="dxa"/>
            <w:shd w:val="clear" w:color="auto" w:fill="FDE9D9" w:themeFill="accent6" w:themeFillTint="33"/>
          </w:tcPr>
          <w:p w14:paraId="2E1432FA"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7F801873" w14:textId="77777777" w:rsidTr="00312688">
        <w:trPr>
          <w:trHeight w:val="300"/>
        </w:trPr>
        <w:tc>
          <w:tcPr>
            <w:tcW w:w="10908" w:type="dxa"/>
            <w:gridSpan w:val="3"/>
            <w:shd w:val="clear" w:color="auto" w:fill="C4BC96" w:themeFill="background2" w:themeFillShade="BF"/>
          </w:tcPr>
          <w:p w14:paraId="57A5677D" w14:textId="77777777" w:rsidR="00312688" w:rsidRPr="00312688" w:rsidRDefault="00312688" w:rsidP="00443A34">
            <w:pPr>
              <w:spacing w:line="259" w:lineRule="auto"/>
              <w:jc w:val="center"/>
              <w:rPr>
                <w:rFonts w:ascii="Times New Roman" w:eastAsia="Calibri" w:hAnsi="Times New Roman" w:cs="Times New Roman"/>
              </w:rPr>
            </w:pPr>
            <w:r w:rsidRPr="00312688">
              <w:rPr>
                <w:rFonts w:ascii="Times New Roman" w:eastAsia="Calibri" w:hAnsi="Times New Roman" w:cs="Times New Roman"/>
                <w:lang w:val="en-US"/>
              </w:rPr>
              <w:t>Course Format</w:t>
            </w:r>
          </w:p>
        </w:tc>
      </w:tr>
      <w:tr w:rsidR="00312688" w:rsidRPr="00312688" w14:paraId="2B2748E5" w14:textId="77777777" w:rsidTr="00312688">
        <w:trPr>
          <w:trHeight w:val="300"/>
        </w:trPr>
        <w:tc>
          <w:tcPr>
            <w:tcW w:w="3105" w:type="dxa"/>
            <w:shd w:val="clear" w:color="auto" w:fill="EEECE1" w:themeFill="background2"/>
          </w:tcPr>
          <w:p w14:paraId="7036DF26"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For online courses, include expectations around camera use, breakout rooms, asking questions. </w:t>
            </w:r>
          </w:p>
        </w:tc>
        <w:tc>
          <w:tcPr>
            <w:tcW w:w="4833" w:type="dxa"/>
            <w:shd w:val="clear" w:color="auto" w:fill="EEECE1" w:themeFill="background2"/>
          </w:tcPr>
          <w:p w14:paraId="041B99E3"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not all students come in with the same levels of experiences with online courses and may not know what the norms/expectations are. Inclusion considerations: online expectations such as these can also vary from one instructor to another. Students knowing ahead of time that they will need to interact with others will encourage them to get ready accordingly and will make it more likely for them to have their </w:t>
            </w:r>
            <w:r w:rsidRPr="00312688">
              <w:rPr>
                <w:rFonts w:ascii="Times New Roman" w:eastAsia="Calibri" w:hAnsi="Times New Roman" w:cs="Times New Roman"/>
                <w:lang w:val="en-US"/>
              </w:rPr>
              <w:lastRenderedPageBreak/>
              <w:t xml:space="preserve">cameras on and be ready to participate, which all fosters a greater inclusivity (they feel they can contribute more and are valued). </w:t>
            </w:r>
          </w:p>
        </w:tc>
        <w:tc>
          <w:tcPr>
            <w:tcW w:w="2970" w:type="dxa"/>
            <w:shd w:val="clear" w:color="auto" w:fill="EEECE1" w:themeFill="background2"/>
          </w:tcPr>
          <w:p w14:paraId="31EB4E4A"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74B1E06E" w14:textId="77777777" w:rsidTr="00312688">
        <w:trPr>
          <w:trHeight w:val="300"/>
        </w:trPr>
        <w:tc>
          <w:tcPr>
            <w:tcW w:w="3105" w:type="dxa"/>
            <w:shd w:val="clear" w:color="auto" w:fill="EEECE1" w:themeFill="background2"/>
          </w:tcPr>
          <w:p w14:paraId="1D245522"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Clarify what counts as “participation” and how to participate meaningfully. </w:t>
            </w:r>
          </w:p>
        </w:tc>
        <w:tc>
          <w:tcPr>
            <w:tcW w:w="4833" w:type="dxa"/>
            <w:shd w:val="clear" w:color="auto" w:fill="EEECE1" w:themeFill="background2"/>
          </w:tcPr>
          <w:p w14:paraId="15E2A7F6"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not all students have the same understanding of what counts, therefore those who do not have the same implicit understanding as you (the instructor), risk being put at a disadvantage. </w:t>
            </w:r>
          </w:p>
        </w:tc>
        <w:tc>
          <w:tcPr>
            <w:tcW w:w="2970" w:type="dxa"/>
            <w:shd w:val="clear" w:color="auto" w:fill="EEECE1" w:themeFill="background2"/>
          </w:tcPr>
          <w:p w14:paraId="33523B18"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6B2F2EFF" w14:textId="77777777" w:rsidTr="00312688">
        <w:trPr>
          <w:trHeight w:val="300"/>
        </w:trPr>
        <w:tc>
          <w:tcPr>
            <w:tcW w:w="3105" w:type="dxa"/>
            <w:shd w:val="clear" w:color="auto" w:fill="EEECE1" w:themeFill="background2"/>
          </w:tcPr>
          <w:p w14:paraId="66FBDE8F"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Include multiple means of participation (e.g. speaking in class, asking questions, written discussion posts). </w:t>
            </w:r>
          </w:p>
        </w:tc>
        <w:tc>
          <w:tcPr>
            <w:tcW w:w="4833" w:type="dxa"/>
            <w:shd w:val="clear" w:color="auto" w:fill="EEECE1" w:themeFill="background2"/>
          </w:tcPr>
          <w:p w14:paraId="679604DD"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for various valid reasons, not all students are able and comfortable to participate by raising their hands and speaking in class. Therefore, it puts them at a disadvantage if we do not offer alternate means of participation. </w:t>
            </w:r>
          </w:p>
          <w:p w14:paraId="0145883A"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Inclusion considerations: if the students only have one method of participating and it isn’t one they are comfortable with, they won’t feel able to fully contribute to their potential and in turn be valued for what they can bring to the class. You would miss out on many valuable contributions and opportunities to include every voice in the class. </w:t>
            </w:r>
          </w:p>
        </w:tc>
        <w:tc>
          <w:tcPr>
            <w:tcW w:w="2970" w:type="dxa"/>
            <w:shd w:val="clear" w:color="auto" w:fill="EEECE1" w:themeFill="background2"/>
          </w:tcPr>
          <w:p w14:paraId="6387C8CC"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24160051" w14:textId="77777777" w:rsidTr="00312688">
        <w:trPr>
          <w:trHeight w:val="300"/>
        </w:trPr>
        <w:tc>
          <w:tcPr>
            <w:tcW w:w="3105" w:type="dxa"/>
            <w:shd w:val="clear" w:color="auto" w:fill="EEECE1" w:themeFill="background2"/>
          </w:tcPr>
          <w:p w14:paraId="0C2ADFBB"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Specify whether there will be required activities outside of specified course hours and aim to limit such activities to only those that are completely necessary. </w:t>
            </w:r>
          </w:p>
        </w:tc>
        <w:tc>
          <w:tcPr>
            <w:tcW w:w="4833" w:type="dxa"/>
            <w:shd w:val="clear" w:color="auto" w:fill="EEECE1" w:themeFill="background2"/>
          </w:tcPr>
          <w:p w14:paraId="63D5BC68"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Equity considerations: for various valid reasons, some students may have responsibilities outside class time that can be difficult to move or have negative repercussions on them (e.g. loss of income, trouble with work, no one to take care of their family, etc.). They need to be made aware of it ahead of time, in the course outline, to avoid them being penalized for the extra responsibilities they h</w:t>
            </w:r>
            <w:r w:rsidRPr="00312688">
              <w:rPr>
                <w:rFonts w:ascii="Times New Roman" w:eastAsia="Calibri" w:hAnsi="Times New Roman" w:cs="Times New Roman"/>
              </w:rPr>
              <w:t xml:space="preserve">ave that other students don’t have. </w:t>
            </w:r>
          </w:p>
        </w:tc>
        <w:tc>
          <w:tcPr>
            <w:tcW w:w="2970" w:type="dxa"/>
            <w:shd w:val="clear" w:color="auto" w:fill="EEECE1" w:themeFill="background2"/>
          </w:tcPr>
          <w:p w14:paraId="19A9D9D2"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3A415F6C" w14:textId="77777777" w:rsidTr="00312688">
        <w:trPr>
          <w:trHeight w:val="300"/>
        </w:trPr>
        <w:tc>
          <w:tcPr>
            <w:tcW w:w="10908" w:type="dxa"/>
            <w:gridSpan w:val="3"/>
            <w:shd w:val="clear" w:color="auto" w:fill="B2A1C7" w:themeFill="accent4" w:themeFillTint="99"/>
          </w:tcPr>
          <w:p w14:paraId="7B16F1A6" w14:textId="77777777" w:rsidR="00312688" w:rsidRPr="00312688" w:rsidRDefault="00312688" w:rsidP="00443A34">
            <w:pPr>
              <w:spacing w:line="259" w:lineRule="auto"/>
              <w:jc w:val="center"/>
              <w:rPr>
                <w:rFonts w:ascii="Times New Roman" w:eastAsia="Calibri" w:hAnsi="Times New Roman" w:cs="Times New Roman"/>
              </w:rPr>
            </w:pPr>
            <w:r w:rsidRPr="00312688">
              <w:rPr>
                <w:rFonts w:ascii="Times New Roman" w:eastAsia="Calibri" w:hAnsi="Times New Roman" w:cs="Times New Roman"/>
                <w:lang w:val="en-US"/>
              </w:rPr>
              <w:t>Materials</w:t>
            </w:r>
          </w:p>
        </w:tc>
      </w:tr>
      <w:tr w:rsidR="00312688" w:rsidRPr="00312688" w14:paraId="00CA5740" w14:textId="77777777" w:rsidTr="00312688">
        <w:trPr>
          <w:trHeight w:val="300"/>
        </w:trPr>
        <w:tc>
          <w:tcPr>
            <w:tcW w:w="3105" w:type="dxa"/>
            <w:shd w:val="clear" w:color="auto" w:fill="E5DFEC" w:themeFill="accent4" w:themeFillTint="33"/>
          </w:tcPr>
          <w:p w14:paraId="78F67E49"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Specify any cost of materials; consider assigning material that does not include a cost.</w:t>
            </w:r>
          </w:p>
          <w:p w14:paraId="23579E5F" w14:textId="77777777" w:rsidR="00312688" w:rsidRPr="00312688" w:rsidRDefault="00312688" w:rsidP="00443A34">
            <w:pPr>
              <w:spacing w:line="259" w:lineRule="auto"/>
              <w:rPr>
                <w:rFonts w:ascii="Times New Roman" w:eastAsia="Calibri" w:hAnsi="Times New Roman" w:cs="Times New Roman"/>
              </w:rPr>
            </w:pPr>
          </w:p>
        </w:tc>
        <w:tc>
          <w:tcPr>
            <w:tcW w:w="4833" w:type="dxa"/>
            <w:shd w:val="clear" w:color="auto" w:fill="E5DFEC" w:themeFill="accent4" w:themeFillTint="33"/>
          </w:tcPr>
          <w:p w14:paraId="7363730F"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 some students may have financial constraints and obligations making it difficult for them to pay for school materials such as expensive textbooks. In many cases this may even result in them not purchasing the textbook at all and working at a disadvantage </w:t>
            </w:r>
            <w:r w:rsidRPr="00312688">
              <w:rPr>
                <w:rFonts w:ascii="Times New Roman" w:eastAsia="Calibri" w:hAnsi="Times New Roman" w:cs="Times New Roman"/>
                <w:lang w:val="en-US"/>
              </w:rPr>
              <w:lastRenderedPageBreak/>
              <w:t>the entire semester, not because ‘’they don’t care’’ but simply because they cannot afford it. The McGill online library has plenty of materials accessible for free with their McGill credentials.</w:t>
            </w:r>
          </w:p>
        </w:tc>
        <w:tc>
          <w:tcPr>
            <w:tcW w:w="2970" w:type="dxa"/>
            <w:shd w:val="clear" w:color="auto" w:fill="E5DFEC" w:themeFill="accent4" w:themeFillTint="33"/>
          </w:tcPr>
          <w:p w14:paraId="4941EA67"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lastRenderedPageBreak/>
              <w:t>NB You may want to be in touch with the librarians for our Faculty to discuss ways the library can help mitigate costs for students.</w:t>
            </w:r>
          </w:p>
        </w:tc>
      </w:tr>
      <w:tr w:rsidR="00312688" w:rsidRPr="00312688" w14:paraId="09477494" w14:textId="77777777" w:rsidTr="00312688">
        <w:trPr>
          <w:trHeight w:val="300"/>
        </w:trPr>
        <w:tc>
          <w:tcPr>
            <w:tcW w:w="3105" w:type="dxa"/>
            <w:shd w:val="clear" w:color="auto" w:fill="E5DFEC" w:themeFill="accent4" w:themeFillTint="33"/>
          </w:tcPr>
          <w:p w14:paraId="6D81DFF4"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Show students how to use the library to access materials (consider bringing in a librarian for a demo).</w:t>
            </w:r>
          </w:p>
        </w:tc>
        <w:tc>
          <w:tcPr>
            <w:tcW w:w="4833" w:type="dxa"/>
            <w:shd w:val="clear" w:color="auto" w:fill="E5DFEC" w:themeFill="accent4" w:themeFillTint="33"/>
          </w:tcPr>
          <w:p w14:paraId="2A798C34"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again, not all students know how to use these resources and not having access to proper academic materials for their various research and assignments may have a big impact on their grades and overall success in your course. </w:t>
            </w:r>
          </w:p>
        </w:tc>
        <w:tc>
          <w:tcPr>
            <w:tcW w:w="2970" w:type="dxa"/>
            <w:shd w:val="clear" w:color="auto" w:fill="E5DFEC" w:themeFill="accent4" w:themeFillTint="33"/>
          </w:tcPr>
          <w:p w14:paraId="14046FF3"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54AFEB15" w14:textId="77777777" w:rsidTr="00312688">
        <w:trPr>
          <w:trHeight w:val="300"/>
        </w:trPr>
        <w:tc>
          <w:tcPr>
            <w:tcW w:w="3105" w:type="dxa"/>
            <w:shd w:val="clear" w:color="auto" w:fill="E5DFEC" w:themeFill="accent4" w:themeFillTint="33"/>
          </w:tcPr>
          <w:p w14:paraId="15500731"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Create space for students to share their experiences with respect to course materials. For example, if students encounter offensive or outdated content in a reading, it is important to provide a channel where students can flag such content. </w:t>
            </w:r>
          </w:p>
        </w:tc>
        <w:tc>
          <w:tcPr>
            <w:tcW w:w="4833" w:type="dxa"/>
            <w:shd w:val="clear" w:color="auto" w:fill="E5DFEC" w:themeFill="accent4" w:themeFillTint="33"/>
          </w:tcPr>
          <w:p w14:paraId="3A30A9D5"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Inclusion consideration: we want every student to feel safe and comfortable throughout their experience in the classroom. What might be considered offensive or outdated can be hard to detect since we cannot know the experiences of every identity. Therefore, instructors should create feedback opportunities for students to let them know of any harmful content in the course material.   </w:t>
            </w:r>
          </w:p>
        </w:tc>
        <w:tc>
          <w:tcPr>
            <w:tcW w:w="2970" w:type="dxa"/>
            <w:shd w:val="clear" w:color="auto" w:fill="E5DFEC" w:themeFill="accent4" w:themeFillTint="33"/>
          </w:tcPr>
          <w:p w14:paraId="77F031B5"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7E54ADA3" w14:textId="77777777" w:rsidTr="00312688">
        <w:trPr>
          <w:trHeight w:val="300"/>
        </w:trPr>
        <w:tc>
          <w:tcPr>
            <w:tcW w:w="3105" w:type="dxa"/>
            <w:shd w:val="clear" w:color="auto" w:fill="E5DFEC" w:themeFill="accent4" w:themeFillTint="33"/>
          </w:tcPr>
          <w:p w14:paraId="7BDA680E"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Consider content warnings for materials that include discussions of racism, sexism, ableism, homophobia, etc. Be explicit with students about the learning value of such materials. </w:t>
            </w:r>
          </w:p>
        </w:tc>
        <w:tc>
          <w:tcPr>
            <w:tcW w:w="4833" w:type="dxa"/>
            <w:shd w:val="clear" w:color="auto" w:fill="E5DFEC" w:themeFill="accent4" w:themeFillTint="33"/>
          </w:tcPr>
          <w:p w14:paraId="04D6E2B7"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Inclusion and Equity considerations: discussing certain topics that personally touch on some students’ experiences can create a situation in which they are re-living the trauma in class. We want to avoid creating this kind of harmful experience for students, so a content warning may help prevent it. You may also consider an accommodation (e.g. student watches lecture recording instead of attending the session, or meets one on one with the instructor) where appropriate. By adding a warning in your course outline, students can plan for it ahead of time and discuss potential alternat</w:t>
            </w:r>
            <w:r w:rsidRPr="00312688">
              <w:rPr>
                <w:rFonts w:ascii="Times New Roman" w:eastAsia="Calibri" w:hAnsi="Times New Roman" w:cs="Times New Roman"/>
              </w:rPr>
              <w:t>ives with you in advance.</w:t>
            </w:r>
          </w:p>
        </w:tc>
        <w:tc>
          <w:tcPr>
            <w:tcW w:w="2970" w:type="dxa"/>
            <w:shd w:val="clear" w:color="auto" w:fill="E5DFEC" w:themeFill="accent4" w:themeFillTint="33"/>
          </w:tcPr>
          <w:p w14:paraId="42C4433F"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19B6249B" w14:textId="77777777" w:rsidTr="00312688">
        <w:trPr>
          <w:trHeight w:val="300"/>
        </w:trPr>
        <w:tc>
          <w:tcPr>
            <w:tcW w:w="3105" w:type="dxa"/>
            <w:shd w:val="clear" w:color="auto" w:fill="E5DFEC" w:themeFill="accent4" w:themeFillTint="33"/>
          </w:tcPr>
          <w:p w14:paraId="119639AF"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Include materials that cover diverse perspectives.</w:t>
            </w:r>
          </w:p>
        </w:tc>
        <w:tc>
          <w:tcPr>
            <w:tcW w:w="4833" w:type="dxa"/>
            <w:shd w:val="clear" w:color="auto" w:fill="E5DFEC" w:themeFill="accent4" w:themeFillTint="33"/>
          </w:tcPr>
          <w:p w14:paraId="4B2F9E9A"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Inclusion considerations: your students are diverse from one another, your classroom is comprised of various types of diversity, and if you don’t provide materials with diverse perspectives, some students may feel like they don’t identify with any of it, or don’t belong in </w:t>
            </w:r>
            <w:r w:rsidRPr="00312688">
              <w:rPr>
                <w:rFonts w:ascii="Times New Roman" w:eastAsia="Calibri" w:hAnsi="Times New Roman" w:cs="Times New Roman"/>
                <w:lang w:val="en-US"/>
              </w:rPr>
              <w:lastRenderedPageBreak/>
              <w:t xml:space="preserve">your classroom. Inclusion is about welcoming and valuing diverse perspectives, so by doing so yourself through the material, you are also leading by example in showing them what inclusion is. </w:t>
            </w:r>
          </w:p>
          <w:p w14:paraId="7CE46457"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Diversity consideration: knowledge is by and large created and contextual, so by providing diverse perspectives, you are expanding the knowledge your students have access to in your course.</w:t>
            </w:r>
          </w:p>
        </w:tc>
        <w:tc>
          <w:tcPr>
            <w:tcW w:w="2970" w:type="dxa"/>
            <w:shd w:val="clear" w:color="auto" w:fill="E5DFEC" w:themeFill="accent4" w:themeFillTint="33"/>
          </w:tcPr>
          <w:p w14:paraId="60EA5B1C"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5D2D203F" w14:textId="77777777" w:rsidTr="00312688">
        <w:trPr>
          <w:trHeight w:val="300"/>
        </w:trPr>
        <w:tc>
          <w:tcPr>
            <w:tcW w:w="3105" w:type="dxa"/>
            <w:shd w:val="clear" w:color="auto" w:fill="E5DFEC" w:themeFill="accent4" w:themeFillTint="33"/>
          </w:tcPr>
          <w:p w14:paraId="7BA70334"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Include materials from people who represent a diverse array of identi</w:t>
            </w:r>
            <w:r w:rsidRPr="00312688">
              <w:rPr>
                <w:rFonts w:ascii="Times New Roman" w:eastAsia="Calibri" w:hAnsi="Times New Roman" w:cs="Times New Roman"/>
              </w:rPr>
              <w:t xml:space="preserve">ties. </w:t>
            </w:r>
          </w:p>
        </w:tc>
        <w:tc>
          <w:tcPr>
            <w:tcW w:w="4833" w:type="dxa"/>
            <w:shd w:val="clear" w:color="auto" w:fill="E5DFEC" w:themeFill="accent4" w:themeFillTint="33"/>
          </w:tcPr>
          <w:p w14:paraId="5132EB3C"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Inclusion considerations: Same explanation as above. Your students represent a diversity of identities. Therefore, by including materials from a diversity of identities, you are increasing the likelihood that each student will feel represented in some way in your class. Representation is crucial for students to feel like they belong in your class or in your field of study. </w:t>
            </w:r>
          </w:p>
        </w:tc>
        <w:tc>
          <w:tcPr>
            <w:tcW w:w="2970" w:type="dxa"/>
            <w:shd w:val="clear" w:color="auto" w:fill="E5DFEC" w:themeFill="accent4" w:themeFillTint="33"/>
          </w:tcPr>
          <w:p w14:paraId="297734B1"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1EC97F84" w14:textId="77777777" w:rsidTr="00312688">
        <w:trPr>
          <w:trHeight w:val="300"/>
        </w:trPr>
        <w:tc>
          <w:tcPr>
            <w:tcW w:w="10908" w:type="dxa"/>
            <w:gridSpan w:val="3"/>
            <w:shd w:val="clear" w:color="auto" w:fill="A615BD"/>
          </w:tcPr>
          <w:p w14:paraId="273B08B3" w14:textId="77777777" w:rsidR="00312688" w:rsidRPr="00312688" w:rsidRDefault="00312688" w:rsidP="00443A34">
            <w:pPr>
              <w:spacing w:line="259" w:lineRule="auto"/>
              <w:jc w:val="center"/>
              <w:rPr>
                <w:rFonts w:ascii="Times New Roman" w:eastAsia="Calibri" w:hAnsi="Times New Roman" w:cs="Times New Roman"/>
              </w:rPr>
            </w:pPr>
            <w:r w:rsidRPr="00312688">
              <w:rPr>
                <w:rFonts w:ascii="Times New Roman" w:eastAsia="Calibri" w:hAnsi="Times New Roman" w:cs="Times New Roman"/>
                <w:color w:val="FFFFFF" w:themeColor="background1"/>
                <w:lang w:val="en-US"/>
              </w:rPr>
              <w:t>Assessment</w:t>
            </w:r>
          </w:p>
        </w:tc>
      </w:tr>
      <w:tr w:rsidR="00312688" w:rsidRPr="00312688" w14:paraId="5A5C3210" w14:textId="77777777" w:rsidTr="00312688">
        <w:trPr>
          <w:trHeight w:val="300"/>
        </w:trPr>
        <w:tc>
          <w:tcPr>
            <w:tcW w:w="3105" w:type="dxa"/>
            <w:shd w:val="clear" w:color="auto" w:fill="EDBCF5"/>
          </w:tcPr>
          <w:p w14:paraId="332D9F2E"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Specify any late work policies clearly. Consider why you might or might not allow late work. </w:t>
            </w:r>
          </w:p>
        </w:tc>
        <w:tc>
          <w:tcPr>
            <w:tcW w:w="4833" w:type="dxa"/>
            <w:shd w:val="clear" w:color="auto" w:fill="EDBCF5"/>
          </w:tcPr>
          <w:p w14:paraId="78407256"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inclusion: some students may have more responsibilities/burden outside of school which can make it more difficult for them to respect the deadlines. Having an explicit late policy written in the course outline from the start may ease the additional stress some students may have. Another consideration is that not all students know or feel comfortable asking for extensions. Therefore, only giving extensions on an “as needed” basis when students ask for them may create equity issues. </w:t>
            </w:r>
          </w:p>
          <w:p w14:paraId="5B6F4A25"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Tip: when receiving individual requests for extensions, consider granting an extension to the entire class. </w:t>
            </w:r>
          </w:p>
        </w:tc>
        <w:tc>
          <w:tcPr>
            <w:tcW w:w="2970" w:type="dxa"/>
            <w:shd w:val="clear" w:color="auto" w:fill="EDBCF5"/>
          </w:tcPr>
          <w:p w14:paraId="577C65DA"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3DAD747D" w14:textId="77777777" w:rsidTr="00312688">
        <w:trPr>
          <w:trHeight w:val="300"/>
        </w:trPr>
        <w:tc>
          <w:tcPr>
            <w:tcW w:w="3105" w:type="dxa"/>
            <w:shd w:val="clear" w:color="auto" w:fill="EDBCF5"/>
          </w:tcPr>
          <w:p w14:paraId="1DF96FCC"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Include multiple types of assessment (e.g. not all multiple choice question exams).</w:t>
            </w:r>
          </w:p>
        </w:tc>
        <w:tc>
          <w:tcPr>
            <w:tcW w:w="4833" w:type="dxa"/>
            <w:shd w:val="clear" w:color="auto" w:fill="EDBCF5"/>
          </w:tcPr>
          <w:p w14:paraId="0542B2BD" w14:textId="68DB92F0"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students have various strengths and weaknesses when it comes to assessments. Some do better in exams, some do better in written assignments, some prefer multiple-choice questions, others rather excel in written answers, etc. By providing multiple </w:t>
            </w:r>
            <w:r w:rsidRPr="00312688">
              <w:rPr>
                <w:rFonts w:ascii="Times New Roman" w:eastAsia="Calibri" w:hAnsi="Times New Roman" w:cs="Times New Roman"/>
                <w:lang w:val="en-US"/>
              </w:rPr>
              <w:lastRenderedPageBreak/>
              <w:t>types of assessments, instructors can help every student to have</w:t>
            </w:r>
            <w:r>
              <w:rPr>
                <w:rFonts w:ascii="Times New Roman" w:eastAsia="Calibri" w:hAnsi="Times New Roman" w:cs="Times New Roman"/>
                <w:lang w:val="en-US"/>
              </w:rPr>
              <w:t xml:space="preserve"> their chance to “</w:t>
            </w:r>
            <w:r w:rsidRPr="00312688">
              <w:rPr>
                <w:rFonts w:ascii="Times New Roman" w:eastAsia="Calibri" w:hAnsi="Times New Roman" w:cs="Times New Roman"/>
                <w:lang w:val="en-US"/>
              </w:rPr>
              <w:t>shine</w:t>
            </w:r>
            <w:r>
              <w:rPr>
                <w:rFonts w:ascii="Times New Roman" w:eastAsia="Calibri" w:hAnsi="Times New Roman" w:cs="Times New Roman"/>
                <w:lang w:val="en-US"/>
              </w:rPr>
              <w:t>”.</w:t>
            </w:r>
            <w:r w:rsidRPr="00312688">
              <w:rPr>
                <w:rFonts w:ascii="Times New Roman" w:eastAsia="Calibri" w:hAnsi="Times New Roman" w:cs="Times New Roman"/>
                <w:lang w:val="en-US"/>
              </w:rPr>
              <w:t xml:space="preserve"> This can have a considerable impact on their grade, their GPA, and all that is impacted by that. </w:t>
            </w:r>
          </w:p>
        </w:tc>
        <w:tc>
          <w:tcPr>
            <w:tcW w:w="2970" w:type="dxa"/>
            <w:shd w:val="clear" w:color="auto" w:fill="EDBCF5"/>
          </w:tcPr>
          <w:p w14:paraId="6ACFB707"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081D689E" w14:textId="77777777" w:rsidTr="00312688">
        <w:trPr>
          <w:trHeight w:val="300"/>
        </w:trPr>
        <w:tc>
          <w:tcPr>
            <w:tcW w:w="3105" w:type="dxa"/>
            <w:shd w:val="clear" w:color="auto" w:fill="EDBCF5"/>
          </w:tcPr>
          <w:p w14:paraId="425ABD72"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Make sure anything that is assessed is taught in some capacity (e.g. if assessing writing, provide examples or instruction on what constitutes “good writing”).</w:t>
            </w:r>
          </w:p>
        </w:tc>
        <w:tc>
          <w:tcPr>
            <w:tcW w:w="4833" w:type="dxa"/>
            <w:shd w:val="clear" w:color="auto" w:fill="EDBCF5"/>
          </w:tcPr>
          <w:p w14:paraId="2E2296AE"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considerations: if a certain skill is assessed without having been taught in the class, then all students not previously familiar with it are starting at a disadvantage regarding their grade. For example, if the quality of the writing (English) is assessed, then all students for whom English is not their first language are starting at a disadvantage, when the learning objectives of your course have potentially nothing to do with English proficiency. </w:t>
            </w:r>
          </w:p>
          <w:p w14:paraId="7FFB69FF"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Tip: offer a linguistic review before the final submission of any written assignment. </w:t>
            </w:r>
          </w:p>
        </w:tc>
        <w:tc>
          <w:tcPr>
            <w:tcW w:w="2970" w:type="dxa"/>
            <w:shd w:val="clear" w:color="auto" w:fill="EDBCF5"/>
          </w:tcPr>
          <w:p w14:paraId="6B1E6534"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344B9A4C" w14:textId="77777777" w:rsidTr="00312688">
        <w:trPr>
          <w:trHeight w:val="300"/>
        </w:trPr>
        <w:tc>
          <w:tcPr>
            <w:tcW w:w="3105" w:type="dxa"/>
            <w:shd w:val="clear" w:color="auto" w:fill="EDBCF5"/>
          </w:tcPr>
          <w:p w14:paraId="6B431817"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Make sure there are opportunities for students to receive feedback during the semester.</w:t>
            </w:r>
          </w:p>
        </w:tc>
        <w:tc>
          <w:tcPr>
            <w:tcW w:w="4833" w:type="dxa"/>
            <w:shd w:val="clear" w:color="auto" w:fill="EDBCF5"/>
          </w:tcPr>
          <w:p w14:paraId="08000805"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&amp; inclusion consideration: feedback during the semester is the only way students can understand their mistakes, and to learn and improve. Only receiving bad grades without any feedback throughout the semester can cause students to be discouraged and not feel considered or cared for by their instructor. Not all students are comfortable being vocal and asking for feedback when receiving a bad grade. Hence, if no feedback is provided systematically to all students, it can create inequity as only a few will go to the instructor and get useful feedback helping them improve, learn more, and ultimately get a better chance at a better grade.   </w:t>
            </w:r>
          </w:p>
        </w:tc>
        <w:tc>
          <w:tcPr>
            <w:tcW w:w="2970" w:type="dxa"/>
            <w:shd w:val="clear" w:color="auto" w:fill="EDBCF5"/>
          </w:tcPr>
          <w:p w14:paraId="04405D65" w14:textId="77777777" w:rsidR="00312688" w:rsidRPr="00312688" w:rsidRDefault="00312688" w:rsidP="00443A34">
            <w:pPr>
              <w:spacing w:line="259" w:lineRule="auto"/>
              <w:rPr>
                <w:rFonts w:ascii="Times New Roman" w:eastAsia="Calibri" w:hAnsi="Times New Roman" w:cs="Times New Roman"/>
              </w:rPr>
            </w:pPr>
          </w:p>
        </w:tc>
      </w:tr>
      <w:tr w:rsidR="00312688" w:rsidRPr="00312688" w14:paraId="1324DED2" w14:textId="77777777" w:rsidTr="00312688">
        <w:trPr>
          <w:trHeight w:val="300"/>
        </w:trPr>
        <w:tc>
          <w:tcPr>
            <w:tcW w:w="3105" w:type="dxa"/>
            <w:shd w:val="clear" w:color="auto" w:fill="EDBCF5"/>
          </w:tcPr>
          <w:p w14:paraId="536B2EB3"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All assessed materials should have explicit criteria (e.g. a rubric). </w:t>
            </w:r>
          </w:p>
        </w:tc>
        <w:tc>
          <w:tcPr>
            <w:tcW w:w="4833" w:type="dxa"/>
            <w:shd w:val="clear" w:color="auto" w:fill="EDBCF5"/>
          </w:tcPr>
          <w:p w14:paraId="51EB61BE" w14:textId="77777777" w:rsidR="00312688" w:rsidRPr="00312688" w:rsidRDefault="00312688" w:rsidP="00443A34">
            <w:pPr>
              <w:spacing w:line="259" w:lineRule="auto"/>
              <w:rPr>
                <w:rFonts w:ascii="Times New Roman" w:eastAsia="Calibri" w:hAnsi="Times New Roman" w:cs="Times New Roman"/>
              </w:rPr>
            </w:pPr>
            <w:r w:rsidRPr="00312688">
              <w:rPr>
                <w:rFonts w:ascii="Times New Roman" w:eastAsia="Calibri" w:hAnsi="Times New Roman" w:cs="Times New Roman"/>
                <w:lang w:val="en-US"/>
              </w:rPr>
              <w:t xml:space="preserve">Equity consideration: This will help students know what to focus on, and how to best demonstrate their knowledge, and how to make sense of the grades and feedback they receive. Furthermore, many unconscious biases can creep in the grading process, based on the instructors’ knowledge of each student. We all want to believe that we are impartial and unbiased, but everyone has unconscious biases. </w:t>
            </w:r>
            <w:r w:rsidRPr="00312688">
              <w:rPr>
                <w:rFonts w:ascii="Times New Roman" w:eastAsia="Calibri" w:hAnsi="Times New Roman" w:cs="Times New Roman"/>
                <w:lang w:val="en-US"/>
              </w:rPr>
              <w:lastRenderedPageBreak/>
              <w:t xml:space="preserve">Many concrete strategies can be put in place to limit biases during the grading process (I.e., hiding the names, etc.), but the best way to grade as objectively as possible and leave less room to biases is to have a detailed rubric with observable grading criteria that leave no room for subjectivity. </w:t>
            </w:r>
          </w:p>
        </w:tc>
        <w:tc>
          <w:tcPr>
            <w:tcW w:w="2970" w:type="dxa"/>
            <w:shd w:val="clear" w:color="auto" w:fill="EDBCF5"/>
          </w:tcPr>
          <w:p w14:paraId="4E119242" w14:textId="77777777" w:rsidR="00312688" w:rsidRPr="00312688" w:rsidRDefault="00312688" w:rsidP="00443A34">
            <w:pPr>
              <w:spacing w:line="259" w:lineRule="auto"/>
              <w:rPr>
                <w:rFonts w:ascii="Times New Roman" w:eastAsia="Calibri" w:hAnsi="Times New Roman" w:cs="Times New Roman"/>
              </w:rPr>
            </w:pPr>
          </w:p>
        </w:tc>
      </w:tr>
    </w:tbl>
    <w:p w14:paraId="0884E6E6" w14:textId="77777777" w:rsidR="00312688" w:rsidRPr="00312688" w:rsidRDefault="00312688" w:rsidP="00312688">
      <w:pPr>
        <w:rPr>
          <w:rFonts w:ascii="Times New Roman" w:hAnsi="Times New Roman" w:cs="Times New Roman"/>
          <w:sz w:val="24"/>
          <w:szCs w:val="24"/>
        </w:rPr>
      </w:pPr>
    </w:p>
    <w:p w14:paraId="6D9AB967" w14:textId="77777777" w:rsidR="00312688" w:rsidRPr="00312688" w:rsidRDefault="00312688" w:rsidP="00312688">
      <w:pPr>
        <w:jc w:val="center"/>
        <w:rPr>
          <w:rFonts w:ascii="Times New Roman" w:eastAsia="Calibri" w:hAnsi="Times New Roman" w:cs="Times New Roman"/>
          <w:b/>
          <w:bCs/>
          <w:color w:val="000000" w:themeColor="text1"/>
          <w:sz w:val="24"/>
          <w:szCs w:val="24"/>
        </w:rPr>
      </w:pPr>
      <w:r w:rsidRPr="00312688">
        <w:rPr>
          <w:rFonts w:ascii="Times New Roman" w:eastAsia="Calibri" w:hAnsi="Times New Roman" w:cs="Times New Roman"/>
          <w:b/>
          <w:bCs/>
          <w:color w:val="000000" w:themeColor="text1"/>
          <w:sz w:val="24"/>
          <w:szCs w:val="24"/>
        </w:rPr>
        <w:t>References and suggested further reading:</w:t>
      </w:r>
    </w:p>
    <w:p w14:paraId="63C798EE" w14:textId="77777777" w:rsidR="00312688" w:rsidRPr="00312688" w:rsidRDefault="00312688" w:rsidP="00312688">
      <w:pPr>
        <w:pStyle w:val="ListParagraph"/>
        <w:numPr>
          <w:ilvl w:val="0"/>
          <w:numId w:val="1"/>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Brantmeier, Ed et al. Inclusion by Design: Survey Your Syllabus and Course Design: A Worksheet. Available at </w:t>
      </w:r>
      <w:hyperlink r:id="rId14">
        <w:r w:rsidRPr="00312688">
          <w:rPr>
            <w:rStyle w:val="Hyperlink"/>
            <w:rFonts w:ascii="Times New Roman" w:eastAsia="Calibri" w:hAnsi="Times New Roman" w:cs="Times New Roman"/>
            <w:sz w:val="24"/>
            <w:szCs w:val="24"/>
          </w:rPr>
          <w:t>https://drive.google.com/file/d/0B0ulz5eHbyjYdmY0eF9ablRRcHM/view?resourcekey=0-30TtSr52Ig9e7RXqpLLE2A</w:t>
        </w:r>
      </w:hyperlink>
      <w:r w:rsidRPr="00312688">
        <w:rPr>
          <w:rFonts w:ascii="Times New Roman" w:eastAsia="Calibri" w:hAnsi="Times New Roman" w:cs="Times New Roman"/>
          <w:color w:val="000000" w:themeColor="text1"/>
          <w:sz w:val="24"/>
          <w:szCs w:val="24"/>
        </w:rPr>
        <w:t xml:space="preserve"> </w:t>
      </w:r>
    </w:p>
    <w:p w14:paraId="7B42CDAE" w14:textId="77777777" w:rsidR="00312688" w:rsidRPr="00312688" w:rsidRDefault="00312688" w:rsidP="00312688">
      <w:pPr>
        <w:pStyle w:val="ListParagraph"/>
        <w:numPr>
          <w:ilvl w:val="0"/>
          <w:numId w:val="1"/>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“Diversity Statement on a Syllabus.” Eberly Center, Carnegie Mellon University. Available at </w:t>
      </w:r>
      <w:hyperlink r:id="rId15">
        <w:r w:rsidRPr="00312688">
          <w:rPr>
            <w:rStyle w:val="Hyperlink"/>
            <w:rFonts w:ascii="Times New Roman" w:eastAsia="Calibri" w:hAnsi="Times New Roman" w:cs="Times New Roman"/>
            <w:sz w:val="24"/>
            <w:szCs w:val="24"/>
          </w:rPr>
          <w:t>https://www.cmu.edu/teaching/designteach/syllabus/checklist/diversitystatement.html</w:t>
        </w:r>
      </w:hyperlink>
      <w:r w:rsidRPr="00312688">
        <w:rPr>
          <w:rFonts w:ascii="Times New Roman" w:eastAsia="Calibri" w:hAnsi="Times New Roman" w:cs="Times New Roman"/>
          <w:sz w:val="24"/>
          <w:szCs w:val="24"/>
        </w:rPr>
        <w:t xml:space="preserve"> </w:t>
      </w:r>
    </w:p>
    <w:p w14:paraId="4CD989A4" w14:textId="77777777" w:rsidR="00312688" w:rsidRPr="00312688" w:rsidRDefault="00312688" w:rsidP="00312688">
      <w:pPr>
        <w:pStyle w:val="ListParagraph"/>
        <w:numPr>
          <w:ilvl w:val="0"/>
          <w:numId w:val="1"/>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Fuentes, Milton A., David G. Zelaya, &amp; Joshua W. Madsen. (2020). Rethinking the Course Syllabus: Considerations for Promoting Equity, Diversity, and Inclusion. Teaching of Psychology 48(1). </w:t>
      </w:r>
      <w:hyperlink r:id="rId16">
        <w:r w:rsidRPr="00312688">
          <w:rPr>
            <w:rStyle w:val="Hyperlink"/>
            <w:rFonts w:ascii="Times New Roman" w:eastAsia="Calibri" w:hAnsi="Times New Roman" w:cs="Times New Roman"/>
            <w:sz w:val="24"/>
            <w:szCs w:val="24"/>
          </w:rPr>
          <w:t>https://doi.org/10.1177/0098628320959979</w:t>
        </w:r>
      </w:hyperlink>
    </w:p>
    <w:p w14:paraId="5082351D" w14:textId="77777777" w:rsidR="00312688" w:rsidRPr="00312688" w:rsidRDefault="00312688" w:rsidP="00312688">
      <w:pPr>
        <w:pStyle w:val="ListParagraph"/>
        <w:numPr>
          <w:ilvl w:val="0"/>
          <w:numId w:val="1"/>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Glossary of terms: </w:t>
      </w:r>
      <w:hyperlink r:id="rId17">
        <w:r w:rsidRPr="00312688">
          <w:rPr>
            <w:rStyle w:val="Hyperlink"/>
            <w:rFonts w:ascii="Times New Roman" w:eastAsia="Calibri" w:hAnsi="Times New Roman" w:cs="Times New Roman"/>
            <w:sz w:val="24"/>
            <w:szCs w:val="24"/>
          </w:rPr>
          <w:t>https://ccdi.ca/media/3507/ccdi-glossary-of-terms-v11-eng.pdf</w:t>
        </w:r>
      </w:hyperlink>
      <w:r w:rsidRPr="00312688">
        <w:rPr>
          <w:rFonts w:ascii="Times New Roman" w:eastAsia="Calibri" w:hAnsi="Times New Roman" w:cs="Times New Roman"/>
          <w:sz w:val="24"/>
          <w:szCs w:val="24"/>
        </w:rPr>
        <w:t xml:space="preserve"> </w:t>
      </w:r>
    </w:p>
    <w:p w14:paraId="2E3C7FE3" w14:textId="77777777" w:rsidR="00312688" w:rsidRPr="00312688" w:rsidRDefault="00312688" w:rsidP="00312688">
      <w:pPr>
        <w:pStyle w:val="ListParagraph"/>
        <w:numPr>
          <w:ilvl w:val="0"/>
          <w:numId w:val="1"/>
        </w:numPr>
        <w:rPr>
          <w:rFonts w:ascii="Times New Roman" w:eastAsia="Calibri" w:hAnsi="Times New Roman" w:cs="Times New Roman"/>
          <w:color w:val="000000" w:themeColor="text1"/>
          <w:sz w:val="24"/>
          <w:szCs w:val="24"/>
        </w:rPr>
      </w:pPr>
      <w:r w:rsidRPr="00312688">
        <w:rPr>
          <w:rFonts w:ascii="Times New Roman" w:eastAsia="Calibri" w:hAnsi="Times New Roman" w:cs="Times New Roman"/>
          <w:color w:val="000000" w:themeColor="text1"/>
          <w:sz w:val="24"/>
          <w:szCs w:val="24"/>
        </w:rPr>
        <w:t xml:space="preserve">Harris, Candace, et al. “SCIENCE IS FOR EVERYONE: FOR EVERYONE: and Inclusion in Teaching Integrating Equity, Diversity, A Toolkit for Instructors.” Carleton University. Available at </w:t>
      </w:r>
      <w:hyperlink r:id="rId18">
        <w:r w:rsidRPr="00312688">
          <w:rPr>
            <w:rStyle w:val="Hyperlink"/>
            <w:rFonts w:ascii="Times New Roman" w:eastAsia="Calibri" w:hAnsi="Times New Roman" w:cs="Times New Roman"/>
            <w:sz w:val="24"/>
            <w:szCs w:val="24"/>
          </w:rPr>
          <w:t>https://science.carleton.ca/wp-content/uploads/ScienceEDITeachingToolkit_v1_3Aug2021.pdf</w:t>
        </w:r>
      </w:hyperlink>
      <w:r w:rsidRPr="00312688">
        <w:rPr>
          <w:rFonts w:ascii="Times New Roman" w:eastAsia="Calibri" w:hAnsi="Times New Roman" w:cs="Times New Roman"/>
          <w:color w:val="000000" w:themeColor="text1"/>
          <w:sz w:val="24"/>
          <w:szCs w:val="24"/>
        </w:rPr>
        <w:t xml:space="preserve"> </w:t>
      </w:r>
    </w:p>
    <w:p w14:paraId="620305F3" w14:textId="77777777" w:rsidR="00312688" w:rsidRPr="00312688" w:rsidRDefault="00312688" w:rsidP="00312688">
      <w:pPr>
        <w:rPr>
          <w:rFonts w:ascii="Times New Roman" w:hAnsi="Times New Roman" w:cs="Times New Roman"/>
          <w:sz w:val="24"/>
          <w:szCs w:val="24"/>
        </w:rPr>
      </w:pPr>
    </w:p>
    <w:p w14:paraId="66E28C21" w14:textId="4E20822E" w:rsidR="00E641C9" w:rsidRPr="00312688" w:rsidRDefault="00E641C9" w:rsidP="00312688">
      <w:pPr>
        <w:rPr>
          <w:rFonts w:ascii="Times New Roman" w:hAnsi="Times New Roman" w:cs="Times New Roman"/>
          <w:sz w:val="24"/>
          <w:szCs w:val="24"/>
        </w:rPr>
      </w:pPr>
    </w:p>
    <w:sectPr w:rsidR="00E641C9" w:rsidRPr="00312688" w:rsidSect="00596BA3">
      <w:headerReference w:type="even" r:id="rId19"/>
      <w:headerReference w:type="default" r:id="rId20"/>
      <w:footerReference w:type="default" r:id="rId21"/>
      <w:pgSz w:w="12240" w:h="15840"/>
      <w:pgMar w:top="1800" w:right="720" w:bottom="1440" w:left="720" w:header="0" w:footer="1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C4EC3" w14:textId="77777777" w:rsidR="00D97D6C" w:rsidRDefault="00D97D6C" w:rsidP="00530A51">
      <w:pPr>
        <w:spacing w:after="0" w:line="240" w:lineRule="auto"/>
      </w:pPr>
      <w:r>
        <w:separator/>
      </w:r>
    </w:p>
  </w:endnote>
  <w:endnote w:type="continuationSeparator" w:id="0">
    <w:p w14:paraId="6C9EA4CB" w14:textId="77777777" w:rsidR="00D97D6C" w:rsidRDefault="00D97D6C" w:rsidP="00530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E557" w14:textId="77777777" w:rsidR="00A96466" w:rsidRDefault="00A96466" w:rsidP="001621DD">
    <w:pPr>
      <w:pStyle w:val="Footer"/>
      <w:tabs>
        <w:tab w:val="left" w:pos="1170"/>
      </w:tabs>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6362" w14:textId="77777777" w:rsidR="00D97D6C" w:rsidRDefault="00D97D6C" w:rsidP="00530A51">
      <w:pPr>
        <w:spacing w:after="0" w:line="240" w:lineRule="auto"/>
      </w:pPr>
      <w:r>
        <w:separator/>
      </w:r>
    </w:p>
  </w:footnote>
  <w:footnote w:type="continuationSeparator" w:id="0">
    <w:p w14:paraId="3B6AE699" w14:textId="77777777" w:rsidR="00D97D6C" w:rsidRDefault="00D97D6C" w:rsidP="00530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7ED8" w14:textId="77777777" w:rsidR="00A96466" w:rsidRDefault="00A96466">
    <w:pPr>
      <w:pStyle w:val="Header"/>
    </w:pPr>
  </w:p>
  <w:p w14:paraId="4F4EEFEC" w14:textId="77777777" w:rsidR="00A96466" w:rsidRDefault="00A96466"/>
  <w:p w14:paraId="22570734" w14:textId="77777777" w:rsidR="00A96466" w:rsidRDefault="00A96466"/>
  <w:p w14:paraId="7FBC20E4" w14:textId="77777777" w:rsidR="00A96466" w:rsidRDefault="00A96466"/>
  <w:p w14:paraId="6F46C436" w14:textId="77777777" w:rsidR="00A96466" w:rsidRDefault="00A96466"/>
  <w:p w14:paraId="08E22F5A" w14:textId="77777777" w:rsidR="00A96466" w:rsidRDefault="00A96466"/>
  <w:p w14:paraId="683F3A2D" w14:textId="77777777" w:rsidR="00A96466" w:rsidRDefault="00A964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238B" w14:textId="77777777" w:rsidR="00A96466" w:rsidRPr="00C01C82" w:rsidRDefault="00C01C82" w:rsidP="001621DD">
    <w:pPr>
      <w:pStyle w:val="Header"/>
      <w:ind w:left="-1800"/>
    </w:pPr>
    <w:r>
      <w:rPr>
        <w:noProof/>
      </w:rPr>
      <w:drawing>
        <wp:anchor distT="0" distB="0" distL="114300" distR="114300" simplePos="0" relativeHeight="251657216" behindDoc="1" locked="0" layoutInCell="1" allowOverlap="1" wp14:anchorId="5074EF43" wp14:editId="4C58A305">
          <wp:simplePos x="0" y="0"/>
          <wp:positionH relativeFrom="page">
            <wp:align>left</wp:align>
          </wp:positionH>
          <wp:positionV relativeFrom="page">
            <wp:align>top</wp:align>
          </wp:positionV>
          <wp:extent cx="7772400" cy="1005840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0A790"/>
    <w:multiLevelType w:val="hybridMultilevel"/>
    <w:tmpl w:val="53ECF0EC"/>
    <w:lvl w:ilvl="0" w:tplc="46DAA3AE">
      <w:start w:val="1"/>
      <w:numFmt w:val="bullet"/>
      <w:lvlText w:val=""/>
      <w:lvlJc w:val="left"/>
      <w:pPr>
        <w:ind w:left="720" w:hanging="360"/>
      </w:pPr>
      <w:rPr>
        <w:rFonts w:ascii="Symbol" w:hAnsi="Symbol" w:hint="default"/>
      </w:rPr>
    </w:lvl>
    <w:lvl w:ilvl="1" w:tplc="C540D810">
      <w:start w:val="1"/>
      <w:numFmt w:val="bullet"/>
      <w:lvlText w:val="o"/>
      <w:lvlJc w:val="left"/>
      <w:pPr>
        <w:ind w:left="1440" w:hanging="360"/>
      </w:pPr>
      <w:rPr>
        <w:rFonts w:ascii="Courier New" w:hAnsi="Courier New" w:hint="default"/>
      </w:rPr>
    </w:lvl>
    <w:lvl w:ilvl="2" w:tplc="78F6E980">
      <w:start w:val="1"/>
      <w:numFmt w:val="bullet"/>
      <w:lvlText w:val=""/>
      <w:lvlJc w:val="left"/>
      <w:pPr>
        <w:ind w:left="2160" w:hanging="360"/>
      </w:pPr>
      <w:rPr>
        <w:rFonts w:ascii="Wingdings" w:hAnsi="Wingdings" w:hint="default"/>
      </w:rPr>
    </w:lvl>
    <w:lvl w:ilvl="3" w:tplc="81F63D60">
      <w:start w:val="1"/>
      <w:numFmt w:val="bullet"/>
      <w:lvlText w:val=""/>
      <w:lvlJc w:val="left"/>
      <w:pPr>
        <w:ind w:left="2880" w:hanging="360"/>
      </w:pPr>
      <w:rPr>
        <w:rFonts w:ascii="Symbol" w:hAnsi="Symbol" w:hint="default"/>
      </w:rPr>
    </w:lvl>
    <w:lvl w:ilvl="4" w:tplc="DADE14B2">
      <w:start w:val="1"/>
      <w:numFmt w:val="bullet"/>
      <w:lvlText w:val="o"/>
      <w:lvlJc w:val="left"/>
      <w:pPr>
        <w:ind w:left="3600" w:hanging="360"/>
      </w:pPr>
      <w:rPr>
        <w:rFonts w:ascii="Courier New" w:hAnsi="Courier New" w:hint="default"/>
      </w:rPr>
    </w:lvl>
    <w:lvl w:ilvl="5" w:tplc="6A28DB68">
      <w:start w:val="1"/>
      <w:numFmt w:val="bullet"/>
      <w:lvlText w:val=""/>
      <w:lvlJc w:val="left"/>
      <w:pPr>
        <w:ind w:left="4320" w:hanging="360"/>
      </w:pPr>
      <w:rPr>
        <w:rFonts w:ascii="Wingdings" w:hAnsi="Wingdings" w:hint="default"/>
      </w:rPr>
    </w:lvl>
    <w:lvl w:ilvl="6" w:tplc="D59EB506">
      <w:start w:val="1"/>
      <w:numFmt w:val="bullet"/>
      <w:lvlText w:val=""/>
      <w:lvlJc w:val="left"/>
      <w:pPr>
        <w:ind w:left="5040" w:hanging="360"/>
      </w:pPr>
      <w:rPr>
        <w:rFonts w:ascii="Symbol" w:hAnsi="Symbol" w:hint="default"/>
      </w:rPr>
    </w:lvl>
    <w:lvl w:ilvl="7" w:tplc="5F581CFC">
      <w:start w:val="1"/>
      <w:numFmt w:val="bullet"/>
      <w:lvlText w:val="o"/>
      <w:lvlJc w:val="left"/>
      <w:pPr>
        <w:ind w:left="5760" w:hanging="360"/>
      </w:pPr>
      <w:rPr>
        <w:rFonts w:ascii="Courier New" w:hAnsi="Courier New" w:hint="default"/>
      </w:rPr>
    </w:lvl>
    <w:lvl w:ilvl="8" w:tplc="781C5808">
      <w:start w:val="1"/>
      <w:numFmt w:val="bullet"/>
      <w:lvlText w:val=""/>
      <w:lvlJc w:val="left"/>
      <w:pPr>
        <w:ind w:left="6480" w:hanging="360"/>
      </w:pPr>
      <w:rPr>
        <w:rFonts w:ascii="Wingdings" w:hAnsi="Wingdings" w:hint="default"/>
      </w:rPr>
    </w:lvl>
  </w:abstractNum>
  <w:abstractNum w:abstractNumId="1" w15:restartNumberingAfterBreak="0">
    <w:nsid w:val="6500DC2A"/>
    <w:multiLevelType w:val="hybridMultilevel"/>
    <w:tmpl w:val="87FC51CC"/>
    <w:lvl w:ilvl="0" w:tplc="52E0D3F6">
      <w:start w:val="1"/>
      <w:numFmt w:val="decimal"/>
      <w:lvlText w:val="%1."/>
      <w:lvlJc w:val="left"/>
      <w:pPr>
        <w:ind w:left="720" w:hanging="360"/>
      </w:pPr>
    </w:lvl>
    <w:lvl w:ilvl="1" w:tplc="41B67738">
      <w:start w:val="1"/>
      <w:numFmt w:val="lowerLetter"/>
      <w:lvlText w:val="%2."/>
      <w:lvlJc w:val="left"/>
      <w:pPr>
        <w:ind w:left="1440" w:hanging="360"/>
      </w:pPr>
    </w:lvl>
    <w:lvl w:ilvl="2" w:tplc="124EA59C">
      <w:start w:val="1"/>
      <w:numFmt w:val="lowerRoman"/>
      <w:lvlText w:val="%3."/>
      <w:lvlJc w:val="right"/>
      <w:pPr>
        <w:ind w:left="2160" w:hanging="180"/>
      </w:pPr>
    </w:lvl>
    <w:lvl w:ilvl="3" w:tplc="BAA4DF94">
      <w:start w:val="1"/>
      <w:numFmt w:val="decimal"/>
      <w:lvlText w:val="%4."/>
      <w:lvlJc w:val="left"/>
      <w:pPr>
        <w:ind w:left="2880" w:hanging="360"/>
      </w:pPr>
    </w:lvl>
    <w:lvl w:ilvl="4" w:tplc="C22A7E2A">
      <w:start w:val="1"/>
      <w:numFmt w:val="lowerLetter"/>
      <w:lvlText w:val="%5."/>
      <w:lvlJc w:val="left"/>
      <w:pPr>
        <w:ind w:left="3600" w:hanging="360"/>
      </w:pPr>
    </w:lvl>
    <w:lvl w:ilvl="5" w:tplc="8F6A7730">
      <w:start w:val="1"/>
      <w:numFmt w:val="lowerRoman"/>
      <w:lvlText w:val="%6."/>
      <w:lvlJc w:val="right"/>
      <w:pPr>
        <w:ind w:left="4320" w:hanging="180"/>
      </w:pPr>
    </w:lvl>
    <w:lvl w:ilvl="6" w:tplc="D93C5002">
      <w:start w:val="1"/>
      <w:numFmt w:val="decimal"/>
      <w:lvlText w:val="%7."/>
      <w:lvlJc w:val="left"/>
      <w:pPr>
        <w:ind w:left="5040" w:hanging="360"/>
      </w:pPr>
    </w:lvl>
    <w:lvl w:ilvl="7" w:tplc="B4F6CAC4">
      <w:start w:val="1"/>
      <w:numFmt w:val="lowerLetter"/>
      <w:lvlText w:val="%8."/>
      <w:lvlJc w:val="left"/>
      <w:pPr>
        <w:ind w:left="5760" w:hanging="360"/>
      </w:pPr>
    </w:lvl>
    <w:lvl w:ilvl="8" w:tplc="733C2BD6">
      <w:start w:val="1"/>
      <w:numFmt w:val="lowerRoman"/>
      <w:lvlText w:val="%9."/>
      <w:lvlJc w:val="right"/>
      <w:pPr>
        <w:ind w:left="6480" w:hanging="180"/>
      </w:pPr>
    </w:lvl>
  </w:abstractNum>
  <w:abstractNum w:abstractNumId="2" w15:restartNumberingAfterBreak="0">
    <w:nsid w:val="763F8709"/>
    <w:multiLevelType w:val="hybridMultilevel"/>
    <w:tmpl w:val="10E8D66A"/>
    <w:lvl w:ilvl="0" w:tplc="63402768">
      <w:start w:val="1"/>
      <w:numFmt w:val="bullet"/>
      <w:lvlText w:val=""/>
      <w:lvlJc w:val="left"/>
      <w:pPr>
        <w:ind w:left="720" w:hanging="360"/>
      </w:pPr>
      <w:rPr>
        <w:rFonts w:ascii="Symbol" w:hAnsi="Symbol" w:hint="default"/>
      </w:rPr>
    </w:lvl>
    <w:lvl w:ilvl="1" w:tplc="44EA1E9E">
      <w:start w:val="1"/>
      <w:numFmt w:val="bullet"/>
      <w:lvlText w:val="o"/>
      <w:lvlJc w:val="left"/>
      <w:pPr>
        <w:ind w:left="1440" w:hanging="360"/>
      </w:pPr>
      <w:rPr>
        <w:rFonts w:ascii="Courier New" w:hAnsi="Courier New" w:hint="default"/>
      </w:rPr>
    </w:lvl>
    <w:lvl w:ilvl="2" w:tplc="FF08597A">
      <w:start w:val="1"/>
      <w:numFmt w:val="bullet"/>
      <w:lvlText w:val=""/>
      <w:lvlJc w:val="left"/>
      <w:pPr>
        <w:ind w:left="2160" w:hanging="360"/>
      </w:pPr>
      <w:rPr>
        <w:rFonts w:ascii="Wingdings" w:hAnsi="Wingdings" w:hint="default"/>
      </w:rPr>
    </w:lvl>
    <w:lvl w:ilvl="3" w:tplc="316A0E34">
      <w:start w:val="1"/>
      <w:numFmt w:val="bullet"/>
      <w:lvlText w:val=""/>
      <w:lvlJc w:val="left"/>
      <w:pPr>
        <w:ind w:left="2880" w:hanging="360"/>
      </w:pPr>
      <w:rPr>
        <w:rFonts w:ascii="Symbol" w:hAnsi="Symbol" w:hint="default"/>
      </w:rPr>
    </w:lvl>
    <w:lvl w:ilvl="4" w:tplc="5086B4AE">
      <w:start w:val="1"/>
      <w:numFmt w:val="bullet"/>
      <w:lvlText w:val="o"/>
      <w:lvlJc w:val="left"/>
      <w:pPr>
        <w:ind w:left="3600" w:hanging="360"/>
      </w:pPr>
      <w:rPr>
        <w:rFonts w:ascii="Courier New" w:hAnsi="Courier New" w:hint="default"/>
      </w:rPr>
    </w:lvl>
    <w:lvl w:ilvl="5" w:tplc="28E669CA">
      <w:start w:val="1"/>
      <w:numFmt w:val="bullet"/>
      <w:lvlText w:val=""/>
      <w:lvlJc w:val="left"/>
      <w:pPr>
        <w:ind w:left="4320" w:hanging="360"/>
      </w:pPr>
      <w:rPr>
        <w:rFonts w:ascii="Wingdings" w:hAnsi="Wingdings" w:hint="default"/>
      </w:rPr>
    </w:lvl>
    <w:lvl w:ilvl="6" w:tplc="E71226BC">
      <w:start w:val="1"/>
      <w:numFmt w:val="bullet"/>
      <w:lvlText w:val=""/>
      <w:lvlJc w:val="left"/>
      <w:pPr>
        <w:ind w:left="5040" w:hanging="360"/>
      </w:pPr>
      <w:rPr>
        <w:rFonts w:ascii="Symbol" w:hAnsi="Symbol" w:hint="default"/>
      </w:rPr>
    </w:lvl>
    <w:lvl w:ilvl="7" w:tplc="86C4AB8A">
      <w:start w:val="1"/>
      <w:numFmt w:val="bullet"/>
      <w:lvlText w:val="o"/>
      <w:lvlJc w:val="left"/>
      <w:pPr>
        <w:ind w:left="5760" w:hanging="360"/>
      </w:pPr>
      <w:rPr>
        <w:rFonts w:ascii="Courier New" w:hAnsi="Courier New" w:hint="default"/>
      </w:rPr>
    </w:lvl>
    <w:lvl w:ilvl="8" w:tplc="477E2D80">
      <w:start w:val="1"/>
      <w:numFmt w:val="bullet"/>
      <w:lvlText w:val=""/>
      <w:lvlJc w:val="left"/>
      <w:pPr>
        <w:ind w:left="6480" w:hanging="360"/>
      </w:pPr>
      <w:rPr>
        <w:rFonts w:ascii="Wingdings" w:hAnsi="Wingdings" w:hint="default"/>
      </w:rPr>
    </w:lvl>
  </w:abstractNum>
  <w:num w:numId="1" w16cid:durableId="1769033401">
    <w:abstractNumId w:val="0"/>
  </w:num>
  <w:num w:numId="2" w16cid:durableId="1439643547">
    <w:abstractNumId w:val="1"/>
  </w:num>
  <w:num w:numId="3" w16cid:durableId="225188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0tLC0NDMxNzC3MDRR0lEKTi0uzszPAykwqgUAp1KykSwAAAA="/>
  </w:docVars>
  <w:rsids>
    <w:rsidRoot w:val="009B071A"/>
    <w:rsid w:val="000412F9"/>
    <w:rsid w:val="00067EA7"/>
    <w:rsid w:val="000C2828"/>
    <w:rsid w:val="000C31A0"/>
    <w:rsid w:val="00115DC4"/>
    <w:rsid w:val="001621DD"/>
    <w:rsid w:val="00181208"/>
    <w:rsid w:val="001D256A"/>
    <w:rsid w:val="001E2460"/>
    <w:rsid w:val="001F5303"/>
    <w:rsid w:val="00243896"/>
    <w:rsid w:val="002807BE"/>
    <w:rsid w:val="0029461C"/>
    <w:rsid w:val="002C2669"/>
    <w:rsid w:val="002C6AE1"/>
    <w:rsid w:val="002D6151"/>
    <w:rsid w:val="00312688"/>
    <w:rsid w:val="00323027"/>
    <w:rsid w:val="00323536"/>
    <w:rsid w:val="00340017"/>
    <w:rsid w:val="00354009"/>
    <w:rsid w:val="00396476"/>
    <w:rsid w:val="003E30E9"/>
    <w:rsid w:val="00530A51"/>
    <w:rsid w:val="00541473"/>
    <w:rsid w:val="00583B4C"/>
    <w:rsid w:val="00596BA3"/>
    <w:rsid w:val="005A1B25"/>
    <w:rsid w:val="00645865"/>
    <w:rsid w:val="00692785"/>
    <w:rsid w:val="0070279F"/>
    <w:rsid w:val="007170E9"/>
    <w:rsid w:val="00727693"/>
    <w:rsid w:val="00746155"/>
    <w:rsid w:val="00797F2C"/>
    <w:rsid w:val="007D7C91"/>
    <w:rsid w:val="007F2A8B"/>
    <w:rsid w:val="00892F37"/>
    <w:rsid w:val="008B0E50"/>
    <w:rsid w:val="00903C9D"/>
    <w:rsid w:val="00920656"/>
    <w:rsid w:val="009600EA"/>
    <w:rsid w:val="00965BAF"/>
    <w:rsid w:val="009B071A"/>
    <w:rsid w:val="00A66451"/>
    <w:rsid w:val="00A96466"/>
    <w:rsid w:val="00AB21AC"/>
    <w:rsid w:val="00AD4551"/>
    <w:rsid w:val="00B128B9"/>
    <w:rsid w:val="00B428FA"/>
    <w:rsid w:val="00BF2166"/>
    <w:rsid w:val="00BF63AD"/>
    <w:rsid w:val="00C01C82"/>
    <w:rsid w:val="00C01E3A"/>
    <w:rsid w:val="00C24AA7"/>
    <w:rsid w:val="00CA6143"/>
    <w:rsid w:val="00CC52EA"/>
    <w:rsid w:val="00CD5E9B"/>
    <w:rsid w:val="00CE2E4B"/>
    <w:rsid w:val="00D00B1F"/>
    <w:rsid w:val="00D01BEA"/>
    <w:rsid w:val="00D445F6"/>
    <w:rsid w:val="00D719A5"/>
    <w:rsid w:val="00D80C53"/>
    <w:rsid w:val="00D865C5"/>
    <w:rsid w:val="00D97D6C"/>
    <w:rsid w:val="00DB42D1"/>
    <w:rsid w:val="00DD18F4"/>
    <w:rsid w:val="00DF0240"/>
    <w:rsid w:val="00E13D9B"/>
    <w:rsid w:val="00E45FE9"/>
    <w:rsid w:val="00E641C9"/>
    <w:rsid w:val="00EC0995"/>
    <w:rsid w:val="00EC48D7"/>
    <w:rsid w:val="00ED7707"/>
    <w:rsid w:val="00EF3994"/>
    <w:rsid w:val="00F810C5"/>
    <w:rsid w:val="00FB354A"/>
    <w:rsid w:val="00FC0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3B6D7"/>
  <w15:docId w15:val="{C6F81A81-7C74-42A5-8AE1-24F2B118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71A"/>
    <w:rPr>
      <w:rFonts w:ascii="Tahoma" w:hAnsi="Tahoma" w:cs="Tahoma"/>
      <w:sz w:val="16"/>
      <w:szCs w:val="16"/>
    </w:rPr>
  </w:style>
  <w:style w:type="paragraph" w:styleId="Header">
    <w:name w:val="header"/>
    <w:basedOn w:val="Normal"/>
    <w:link w:val="HeaderChar"/>
    <w:uiPriority w:val="99"/>
    <w:unhideWhenUsed/>
    <w:rsid w:val="00530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A51"/>
  </w:style>
  <w:style w:type="paragraph" w:styleId="Footer">
    <w:name w:val="footer"/>
    <w:basedOn w:val="Normal"/>
    <w:link w:val="FooterChar"/>
    <w:uiPriority w:val="99"/>
    <w:unhideWhenUsed/>
    <w:rsid w:val="00530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A51"/>
  </w:style>
  <w:style w:type="table" w:styleId="TableGrid">
    <w:name w:val="Table Grid"/>
    <w:basedOn w:val="TableNormal"/>
    <w:uiPriority w:val="59"/>
    <w:rsid w:val="00BF2166"/>
    <w:pPr>
      <w:spacing w:after="0" w:line="240" w:lineRule="auto"/>
    </w:pPr>
    <w:rPr>
      <w:rFonts w:eastAsiaTheme="minorEastAsia"/>
      <w:sz w:val="24"/>
      <w:szCs w:val="24"/>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428F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312688"/>
    <w:pPr>
      <w:spacing w:after="160" w:line="259" w:lineRule="auto"/>
      <w:ind w:left="720"/>
      <w:contextualSpacing/>
    </w:pPr>
  </w:style>
  <w:style w:type="character" w:styleId="Hyperlink">
    <w:name w:val="Hyperlink"/>
    <w:basedOn w:val="DefaultParagraphFont"/>
    <w:uiPriority w:val="99"/>
    <w:unhideWhenUsed/>
    <w:rsid w:val="00312688"/>
    <w:rPr>
      <w:color w:val="0000FF"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5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cgill.ca/equity/files/equity/mcgill_strategic_edi_plan_2020-20251.pdf" TargetMode="External"/><Relationship Id="rId18" Type="http://schemas.openxmlformats.org/officeDocument/2006/relationships/hyperlink" Target="https://science.carleton.ca/wp-content/uploads/ScienceEDITeachingToolkit_v1_3Aug2021.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cgill.ca/equity/" TargetMode="External"/><Relationship Id="rId17" Type="http://schemas.openxmlformats.org/officeDocument/2006/relationships/hyperlink" Target="https://ccdi.ca/media/3507/ccdi-glossary-of-terms-v11-eng.pdf" TargetMode="External"/><Relationship Id="rId2" Type="http://schemas.openxmlformats.org/officeDocument/2006/relationships/customXml" Target="../customXml/item2.xml"/><Relationship Id="rId16" Type="http://schemas.openxmlformats.org/officeDocument/2006/relationships/hyperlink" Target="https://doi.org/10.1177/009862832095997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LS.mgmt@mcgill.ca" TargetMode="External"/><Relationship Id="rId5" Type="http://schemas.openxmlformats.org/officeDocument/2006/relationships/numbering" Target="numbering.xml"/><Relationship Id="rId15" Type="http://schemas.openxmlformats.org/officeDocument/2006/relationships/hyperlink" Target="https://www.cmu.edu/teaching/designteach/syllabus/checklist/diversitystatement.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0B0ulz5eHbyjYdmY0eF9ablRRcHM/view?resourcekey=0-30TtSr52Ig9e7RXqpLLE2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0D7DB87313440B287214A1811B4BC" ma:contentTypeVersion="12" ma:contentTypeDescription="Create a new document." ma:contentTypeScope="" ma:versionID="4419f61d5f366f6a9db42da74e8e40f9">
  <xsd:schema xmlns:xsd="http://www.w3.org/2001/XMLSchema" xmlns:xs="http://www.w3.org/2001/XMLSchema" xmlns:p="http://schemas.microsoft.com/office/2006/metadata/properties" xmlns:ns2="2beb24bb-d169-4b11-a0ef-7b98b28f2dc4" xmlns:ns3="30eab99d-267d-48df-ae3f-1dfd8501709a" targetNamespace="http://schemas.microsoft.com/office/2006/metadata/properties" ma:root="true" ma:fieldsID="deee2a1b6898b7dea7ddda8258cfd1cb" ns2:_="" ns3:_="">
    <xsd:import namespace="2beb24bb-d169-4b11-a0ef-7b98b28f2dc4"/>
    <xsd:import namespace="30eab99d-267d-48df-ae3f-1dfd850170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b24bb-d169-4b11-a0ef-7b98b28f2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eab99d-267d-48df-ae3f-1dfd8501709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7744B-7514-42A3-B8B6-C18C5B85B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b24bb-d169-4b11-a0ef-7b98b28f2dc4"/>
    <ds:schemaRef ds:uri="30eab99d-267d-48df-ae3f-1dfd85017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5F570A-ECF2-4E23-B92D-D6BF48454B38}">
  <ds:schemaRefs>
    <ds:schemaRef ds:uri="http://schemas.microsoft.com/sharepoint/v3/contenttype/forms"/>
  </ds:schemaRefs>
</ds:datastoreItem>
</file>

<file path=customXml/itemProps3.xml><?xml version="1.0" encoding="utf-8"?>
<ds:datastoreItem xmlns:ds="http://schemas.openxmlformats.org/officeDocument/2006/customXml" ds:itemID="{AA19296D-065D-4FA8-80C6-593ADC9819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2BA398-BE81-45DC-9D34-6EACBBDDA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2721</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McGill University</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Angela Guadagno, Dr.</cp:lastModifiedBy>
  <cp:revision>3</cp:revision>
  <cp:lastPrinted>2011-05-04T21:20:00Z</cp:lastPrinted>
  <dcterms:created xsi:type="dcterms:W3CDTF">2023-08-24T13:04:00Z</dcterms:created>
  <dcterms:modified xsi:type="dcterms:W3CDTF">2023-08-24T13:04:00Z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0x0101005220D7DB87313440B287214A1811B4BC</vt:lpwstr>
  </property>
  <property fmtid="{D5CDD505-2E9C-101B-9397-08002B2CF9AE}" pid="3" name="GrammarlyDocumentId">
    <vt:lpwstr>0b6fb02d84b69ee0f8201ea484e2b5b4bf7ae145ccb521f9ddbe2ba600cd0222</vt:lpwstr>
  </property>
</Properties>
</file>