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06" w:rsidRPr="0044427A" w:rsidRDefault="00C63106" w:rsidP="00EE2647">
      <w:pPr>
        <w:pStyle w:val="Heading3"/>
        <w:jc w:val="center"/>
        <w:rPr>
          <w:rFonts w:asciiTheme="minorHAnsi" w:hAnsiTheme="minorHAnsi"/>
          <w:sz w:val="16"/>
          <w:szCs w:val="16"/>
        </w:rPr>
      </w:pPr>
    </w:p>
    <w:p w:rsidR="008725F2" w:rsidRDefault="008725F2" w:rsidP="00EE2647">
      <w:pPr>
        <w:pStyle w:val="Heading3"/>
        <w:jc w:val="center"/>
        <w:rPr>
          <w:rFonts w:asciiTheme="minorHAnsi" w:hAnsiTheme="minorHAnsi"/>
          <w:sz w:val="36"/>
          <w:szCs w:val="36"/>
        </w:rPr>
      </w:pPr>
      <w:r>
        <w:rPr>
          <w:rFonts w:asciiTheme="minorHAnsi" w:hAnsiTheme="minorHAnsi"/>
          <w:sz w:val="36"/>
          <w:szCs w:val="36"/>
        </w:rPr>
        <w:t>Career and Professional Development</w:t>
      </w:r>
    </w:p>
    <w:p w:rsidR="008725F2" w:rsidRDefault="008725F2" w:rsidP="00EE2647">
      <w:pPr>
        <w:pStyle w:val="Heading3"/>
        <w:jc w:val="center"/>
        <w:rPr>
          <w:rFonts w:asciiTheme="minorHAnsi" w:hAnsiTheme="minorHAnsi"/>
          <w:sz w:val="36"/>
          <w:szCs w:val="36"/>
        </w:rPr>
      </w:pPr>
      <w:r>
        <w:rPr>
          <w:rFonts w:asciiTheme="minorHAnsi" w:hAnsiTheme="minorHAnsi"/>
          <w:sz w:val="36"/>
          <w:szCs w:val="36"/>
        </w:rPr>
        <w:t>Non-Credit Programs</w:t>
      </w:r>
    </w:p>
    <w:p w:rsidR="00EF55D4" w:rsidRDefault="00EF55D4" w:rsidP="00EF55D4">
      <w:pPr>
        <w:pStyle w:val="Heading3"/>
        <w:jc w:val="left"/>
        <w:rPr>
          <w:rFonts w:asciiTheme="minorHAnsi" w:hAnsiTheme="minorHAnsi"/>
          <w:sz w:val="36"/>
          <w:szCs w:val="36"/>
        </w:rPr>
      </w:pPr>
    </w:p>
    <w:p w:rsidR="00EE2647" w:rsidRPr="00EF55D4" w:rsidRDefault="000C5B78" w:rsidP="00EF55D4">
      <w:pPr>
        <w:pStyle w:val="Heading3"/>
        <w:jc w:val="center"/>
        <w:rPr>
          <w:rFonts w:asciiTheme="minorHAnsi" w:hAnsiTheme="minorHAnsi"/>
          <w:sz w:val="36"/>
          <w:szCs w:val="36"/>
        </w:rPr>
      </w:pPr>
      <w:r w:rsidRPr="00EF55D4">
        <w:rPr>
          <w:rFonts w:asciiTheme="minorHAnsi" w:hAnsiTheme="minorHAnsi"/>
          <w:sz w:val="36"/>
          <w:szCs w:val="36"/>
        </w:rPr>
        <w:t>Course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194"/>
        <w:gridCol w:w="3399"/>
        <w:gridCol w:w="3372"/>
      </w:tblGrid>
      <w:tr w:rsidR="00EE2647" w:rsidRPr="00503C17" w:rsidTr="00BD7E73">
        <w:trPr>
          <w:trHeight w:val="318"/>
        </w:trPr>
        <w:tc>
          <w:tcPr>
            <w:tcW w:w="2611" w:type="dxa"/>
          </w:tcPr>
          <w:p w:rsidR="00EE2647" w:rsidRPr="00503C17" w:rsidRDefault="000C5B78" w:rsidP="00F077E3">
            <w:pPr>
              <w:rPr>
                <w:rFonts w:cs="Times New Roman"/>
                <w:b/>
                <w:sz w:val="24"/>
                <w:szCs w:val="24"/>
              </w:rPr>
            </w:pPr>
            <w:r w:rsidRPr="00503C17">
              <w:rPr>
                <w:rFonts w:cs="Times New Roman"/>
                <w:b/>
                <w:sz w:val="24"/>
                <w:szCs w:val="24"/>
              </w:rPr>
              <w:t>Course Title</w:t>
            </w:r>
          </w:p>
        </w:tc>
        <w:tc>
          <w:tcPr>
            <w:tcW w:w="6965" w:type="dxa"/>
            <w:gridSpan w:val="3"/>
          </w:tcPr>
          <w:p w:rsidR="00C63106" w:rsidRPr="00076C2B" w:rsidRDefault="008725F2" w:rsidP="00F077E3">
            <w:pPr>
              <w:rPr>
                <w:rFonts w:cs="Times New Roman"/>
                <w:b/>
                <w:sz w:val="28"/>
                <w:szCs w:val="28"/>
              </w:rPr>
            </w:pPr>
            <w:r w:rsidRPr="00076C2B">
              <w:rPr>
                <w:rFonts w:cs="Times New Roman"/>
                <w:b/>
                <w:sz w:val="28"/>
                <w:szCs w:val="28"/>
              </w:rPr>
              <w:t>Interpersonal Skills for Professionals</w:t>
            </w:r>
          </w:p>
        </w:tc>
      </w:tr>
      <w:tr w:rsidR="00AD1383" w:rsidRPr="00503C17" w:rsidTr="00BD7E73">
        <w:tc>
          <w:tcPr>
            <w:tcW w:w="2611" w:type="dxa"/>
          </w:tcPr>
          <w:p w:rsidR="008725F2" w:rsidRDefault="008725F2" w:rsidP="00F077E3">
            <w:pPr>
              <w:rPr>
                <w:rFonts w:cs="Times New Roman"/>
                <w:b/>
                <w:sz w:val="24"/>
                <w:szCs w:val="24"/>
              </w:rPr>
            </w:pPr>
          </w:p>
          <w:p w:rsidR="00C63106" w:rsidRDefault="00C63106" w:rsidP="00F077E3">
            <w:pPr>
              <w:rPr>
                <w:rFonts w:cs="Times New Roman"/>
                <w:b/>
                <w:sz w:val="24"/>
                <w:szCs w:val="24"/>
              </w:rPr>
            </w:pPr>
            <w:r>
              <w:rPr>
                <w:rFonts w:cs="Times New Roman"/>
                <w:b/>
                <w:sz w:val="24"/>
                <w:szCs w:val="24"/>
              </w:rPr>
              <w:t>Course Number</w:t>
            </w:r>
          </w:p>
          <w:p w:rsidR="00C63106" w:rsidRDefault="00C63106" w:rsidP="00F077E3">
            <w:pPr>
              <w:rPr>
                <w:rFonts w:cs="Times New Roman"/>
                <w:b/>
                <w:sz w:val="24"/>
                <w:szCs w:val="24"/>
              </w:rPr>
            </w:pPr>
          </w:p>
          <w:p w:rsidR="00BD7E73" w:rsidRDefault="00BD7E73" w:rsidP="00F077E3">
            <w:pPr>
              <w:rPr>
                <w:rFonts w:cs="Times New Roman"/>
                <w:b/>
                <w:sz w:val="24"/>
                <w:szCs w:val="24"/>
              </w:rPr>
            </w:pPr>
            <w:r>
              <w:rPr>
                <w:rFonts w:cs="Times New Roman"/>
                <w:b/>
                <w:sz w:val="24"/>
                <w:szCs w:val="24"/>
              </w:rPr>
              <w:t>C</w:t>
            </w:r>
            <w:r w:rsidR="001F25CD">
              <w:rPr>
                <w:rFonts w:cs="Times New Roman"/>
                <w:b/>
                <w:sz w:val="24"/>
                <w:szCs w:val="24"/>
              </w:rPr>
              <w:t>ontinuing Education Units:</w:t>
            </w:r>
          </w:p>
          <w:p w:rsidR="00BD7E73" w:rsidRDefault="00BD7E73" w:rsidP="00F077E3">
            <w:pPr>
              <w:rPr>
                <w:rFonts w:cs="Times New Roman"/>
                <w:b/>
                <w:sz w:val="24"/>
                <w:szCs w:val="24"/>
              </w:rPr>
            </w:pPr>
          </w:p>
          <w:p w:rsidR="00AD1383" w:rsidRPr="00503C17" w:rsidRDefault="000C5B78" w:rsidP="00F077E3">
            <w:pPr>
              <w:rPr>
                <w:rFonts w:cs="Times New Roman"/>
                <w:b/>
                <w:sz w:val="24"/>
                <w:szCs w:val="24"/>
              </w:rPr>
            </w:pPr>
            <w:r w:rsidRPr="00503C17">
              <w:rPr>
                <w:rFonts w:cs="Times New Roman"/>
                <w:b/>
                <w:sz w:val="24"/>
                <w:szCs w:val="24"/>
              </w:rPr>
              <w:t>Instructor</w:t>
            </w:r>
            <w:r w:rsidR="008725F2">
              <w:rPr>
                <w:rFonts w:cs="Times New Roman"/>
                <w:b/>
                <w:sz w:val="24"/>
                <w:szCs w:val="24"/>
              </w:rPr>
              <w:t>(</w:t>
            </w:r>
            <w:r>
              <w:rPr>
                <w:rFonts w:cs="Times New Roman"/>
                <w:b/>
                <w:sz w:val="24"/>
                <w:szCs w:val="24"/>
              </w:rPr>
              <w:t>s</w:t>
            </w:r>
            <w:r w:rsidR="008725F2">
              <w:rPr>
                <w:rFonts w:cs="Times New Roman"/>
                <w:b/>
                <w:sz w:val="24"/>
                <w:szCs w:val="24"/>
              </w:rPr>
              <w:t>)</w:t>
            </w:r>
          </w:p>
        </w:tc>
        <w:tc>
          <w:tcPr>
            <w:tcW w:w="6965" w:type="dxa"/>
            <w:gridSpan w:val="3"/>
          </w:tcPr>
          <w:p w:rsidR="008725F2" w:rsidRDefault="008725F2" w:rsidP="00F077E3">
            <w:pPr>
              <w:rPr>
                <w:rFonts w:cs="Times New Roman"/>
                <w:b/>
                <w:sz w:val="24"/>
                <w:szCs w:val="24"/>
              </w:rPr>
            </w:pPr>
          </w:p>
          <w:p w:rsidR="00C63106" w:rsidRPr="008725F2" w:rsidRDefault="008725F2" w:rsidP="00F077E3">
            <w:pPr>
              <w:rPr>
                <w:rFonts w:cs="Times New Roman"/>
                <w:sz w:val="24"/>
                <w:szCs w:val="24"/>
              </w:rPr>
            </w:pPr>
            <w:r>
              <w:rPr>
                <w:rFonts w:cs="Times New Roman"/>
                <w:sz w:val="24"/>
                <w:szCs w:val="24"/>
              </w:rPr>
              <w:t>CBUS XXX</w:t>
            </w:r>
          </w:p>
          <w:p w:rsidR="00C63106" w:rsidRDefault="00C63106" w:rsidP="00F077E3">
            <w:pPr>
              <w:rPr>
                <w:rFonts w:cs="Times New Roman"/>
                <w:sz w:val="24"/>
                <w:szCs w:val="24"/>
              </w:rPr>
            </w:pPr>
          </w:p>
          <w:p w:rsidR="006F34BF" w:rsidRDefault="00E72FC4" w:rsidP="00F077E3">
            <w:pPr>
              <w:rPr>
                <w:rFonts w:cs="Times New Roman"/>
                <w:sz w:val="24"/>
                <w:szCs w:val="24"/>
              </w:rPr>
            </w:pPr>
          </w:p>
          <w:p w:rsidR="00AD1383" w:rsidRDefault="001B2E02" w:rsidP="00F3100C">
            <w:pPr>
              <w:rPr>
                <w:rFonts w:cs="Times New Roman"/>
                <w:sz w:val="24"/>
                <w:szCs w:val="24"/>
              </w:rPr>
            </w:pPr>
            <w:r>
              <w:rPr>
                <w:rFonts w:cs="Times New Roman"/>
                <w:sz w:val="24"/>
                <w:szCs w:val="24"/>
              </w:rPr>
              <w:t>30</w:t>
            </w:r>
          </w:p>
          <w:p w:rsidR="001F25CD" w:rsidRDefault="001F25CD" w:rsidP="00F3100C">
            <w:pPr>
              <w:rPr>
                <w:rFonts w:cs="Times New Roman"/>
                <w:sz w:val="24"/>
                <w:szCs w:val="24"/>
              </w:rPr>
            </w:pPr>
          </w:p>
          <w:p w:rsidR="00BD7E73" w:rsidRPr="00503C17" w:rsidRDefault="00BD7E73" w:rsidP="00F3100C">
            <w:pPr>
              <w:rPr>
                <w:rFonts w:cs="Times New Roman"/>
                <w:sz w:val="24"/>
                <w:szCs w:val="24"/>
              </w:rPr>
            </w:pPr>
            <w:r>
              <w:rPr>
                <w:rFonts w:cs="Times New Roman"/>
                <w:sz w:val="24"/>
                <w:szCs w:val="24"/>
              </w:rPr>
              <w:t>James McGill</w:t>
            </w:r>
          </w:p>
        </w:tc>
      </w:tr>
      <w:tr w:rsidR="00BD7E73" w:rsidRPr="00503C17" w:rsidTr="00AD324C">
        <w:trPr>
          <w:trHeight w:val="315"/>
        </w:trPr>
        <w:tc>
          <w:tcPr>
            <w:tcW w:w="2611" w:type="dxa"/>
            <w:vMerge w:val="restart"/>
          </w:tcPr>
          <w:p w:rsidR="00BD7E73" w:rsidRDefault="00BD7E73" w:rsidP="00F077E3">
            <w:pPr>
              <w:rPr>
                <w:rFonts w:cs="Times New Roman"/>
                <w:b/>
                <w:sz w:val="24"/>
                <w:szCs w:val="24"/>
              </w:rPr>
            </w:pPr>
          </w:p>
          <w:p w:rsidR="00BD7E73" w:rsidRPr="00503C17" w:rsidRDefault="00BD7E73" w:rsidP="00F077E3">
            <w:pPr>
              <w:rPr>
                <w:rFonts w:cs="Times New Roman"/>
                <w:b/>
                <w:sz w:val="24"/>
                <w:szCs w:val="24"/>
              </w:rPr>
            </w:pPr>
            <w:r w:rsidRPr="00503C17">
              <w:rPr>
                <w:rFonts w:cs="Times New Roman"/>
                <w:b/>
                <w:sz w:val="24"/>
                <w:szCs w:val="24"/>
              </w:rPr>
              <w:t>Contact Information</w:t>
            </w:r>
          </w:p>
        </w:tc>
        <w:tc>
          <w:tcPr>
            <w:tcW w:w="6965" w:type="dxa"/>
            <w:gridSpan w:val="3"/>
          </w:tcPr>
          <w:p w:rsidR="00BD7E73" w:rsidRDefault="00BD7E73" w:rsidP="00F077E3">
            <w:pPr>
              <w:rPr>
                <w:rFonts w:cs="Times New Roman"/>
                <w:b/>
                <w:sz w:val="24"/>
                <w:szCs w:val="24"/>
              </w:rPr>
            </w:pPr>
          </w:p>
          <w:p w:rsidR="00BD7E73" w:rsidRPr="005E660D" w:rsidRDefault="00BD7E73" w:rsidP="00F077E3">
            <w:pPr>
              <w:rPr>
                <w:rFonts w:cs="Times New Roman"/>
                <w:b/>
                <w:sz w:val="24"/>
                <w:szCs w:val="24"/>
              </w:rPr>
            </w:pPr>
            <w:r w:rsidRPr="005E660D">
              <w:rPr>
                <w:rFonts w:cs="Times New Roman"/>
                <w:b/>
                <w:sz w:val="24"/>
                <w:szCs w:val="24"/>
              </w:rPr>
              <w:t>Email:</w:t>
            </w:r>
            <w:r>
              <w:rPr>
                <w:rFonts w:cs="Times New Roman"/>
                <w:b/>
                <w:sz w:val="24"/>
                <w:szCs w:val="24"/>
              </w:rPr>
              <w:t xml:space="preserve"> </w:t>
            </w:r>
            <w:r w:rsidRPr="00BD7E73">
              <w:rPr>
                <w:rFonts w:cs="Times New Roman"/>
                <w:sz w:val="24"/>
                <w:szCs w:val="24"/>
              </w:rPr>
              <w:t>james.mcgill@mcgill.ca</w:t>
            </w:r>
          </w:p>
          <w:p w:rsidR="00BD7E73" w:rsidRPr="005E660D" w:rsidRDefault="00BD7E73" w:rsidP="00F3100C">
            <w:pPr>
              <w:rPr>
                <w:rFonts w:cs="Times New Roman"/>
                <w:sz w:val="24"/>
                <w:szCs w:val="24"/>
              </w:rPr>
            </w:pPr>
          </w:p>
        </w:tc>
      </w:tr>
      <w:tr w:rsidR="00BD7E73" w:rsidRPr="00503C17" w:rsidTr="003D6DA7">
        <w:trPr>
          <w:trHeight w:val="337"/>
        </w:trPr>
        <w:tc>
          <w:tcPr>
            <w:tcW w:w="2611" w:type="dxa"/>
            <w:vMerge/>
            <w:tcBorders>
              <w:bottom w:val="nil"/>
            </w:tcBorders>
          </w:tcPr>
          <w:p w:rsidR="00BD7E73" w:rsidRPr="00503C17" w:rsidRDefault="00BD7E73" w:rsidP="00F077E3">
            <w:pPr>
              <w:rPr>
                <w:rFonts w:cs="Times New Roman"/>
                <w:b/>
                <w:sz w:val="24"/>
                <w:szCs w:val="24"/>
              </w:rPr>
            </w:pPr>
          </w:p>
        </w:tc>
        <w:tc>
          <w:tcPr>
            <w:tcW w:w="6965" w:type="dxa"/>
            <w:gridSpan w:val="3"/>
            <w:tcBorders>
              <w:bottom w:val="nil"/>
            </w:tcBorders>
          </w:tcPr>
          <w:p w:rsidR="00BD7E73" w:rsidRPr="00BD7E73" w:rsidRDefault="00BD7E73" w:rsidP="00B66184">
            <w:pPr>
              <w:rPr>
                <w:rFonts w:cs="Times New Roman"/>
                <w:b/>
                <w:sz w:val="24"/>
                <w:szCs w:val="24"/>
              </w:rPr>
            </w:pPr>
            <w:r w:rsidRPr="00503C17">
              <w:rPr>
                <w:rFonts w:cs="Times New Roman"/>
                <w:b/>
                <w:sz w:val="24"/>
                <w:szCs w:val="24"/>
              </w:rPr>
              <w:t>Office hours:</w:t>
            </w:r>
            <w:r>
              <w:rPr>
                <w:rFonts w:cs="Times New Roman"/>
                <w:b/>
                <w:sz w:val="24"/>
                <w:szCs w:val="24"/>
              </w:rPr>
              <w:t xml:space="preserve"> </w:t>
            </w:r>
            <w:r w:rsidRPr="004530C7">
              <w:rPr>
                <w:rFonts w:cs="Times New Roman"/>
              </w:rPr>
              <w:t>Upon request</w:t>
            </w:r>
          </w:p>
        </w:tc>
      </w:tr>
      <w:tr w:rsidR="00AD1383" w:rsidRPr="00503C17" w:rsidTr="00BD7E73">
        <w:trPr>
          <w:trHeight w:val="155"/>
        </w:trPr>
        <w:tc>
          <w:tcPr>
            <w:tcW w:w="2611" w:type="dxa"/>
            <w:vMerge/>
          </w:tcPr>
          <w:p w:rsidR="00AD1383" w:rsidRPr="00503C17" w:rsidRDefault="00E72FC4" w:rsidP="00F077E3">
            <w:pPr>
              <w:rPr>
                <w:rFonts w:cs="Times New Roman"/>
                <w:b/>
                <w:sz w:val="24"/>
                <w:szCs w:val="24"/>
              </w:rPr>
            </w:pPr>
          </w:p>
        </w:tc>
        <w:tc>
          <w:tcPr>
            <w:tcW w:w="3593" w:type="dxa"/>
            <w:gridSpan w:val="2"/>
          </w:tcPr>
          <w:p w:rsidR="00AD1383" w:rsidRPr="00503C17" w:rsidRDefault="00E72FC4" w:rsidP="00F077E3">
            <w:pPr>
              <w:rPr>
                <w:rFonts w:cs="Times New Roman"/>
                <w:sz w:val="24"/>
                <w:szCs w:val="24"/>
              </w:rPr>
            </w:pPr>
          </w:p>
        </w:tc>
        <w:tc>
          <w:tcPr>
            <w:tcW w:w="3372" w:type="dxa"/>
          </w:tcPr>
          <w:p w:rsidR="00AD1383" w:rsidRPr="00503C17" w:rsidRDefault="00E72FC4" w:rsidP="00B66184">
            <w:pPr>
              <w:rPr>
                <w:rFonts w:cs="Times New Roman"/>
                <w:sz w:val="24"/>
                <w:szCs w:val="24"/>
              </w:rPr>
            </w:pPr>
          </w:p>
        </w:tc>
      </w:tr>
      <w:tr w:rsidR="00AD1383" w:rsidRPr="00503C17" w:rsidTr="00BD7E73">
        <w:trPr>
          <w:trHeight w:val="1419"/>
        </w:trPr>
        <w:tc>
          <w:tcPr>
            <w:tcW w:w="2611" w:type="dxa"/>
          </w:tcPr>
          <w:p w:rsidR="00AD1383" w:rsidRPr="00503C17" w:rsidRDefault="000C5B78" w:rsidP="00F077E3">
            <w:pPr>
              <w:rPr>
                <w:rFonts w:cs="Times New Roman"/>
                <w:b/>
                <w:sz w:val="24"/>
                <w:szCs w:val="24"/>
              </w:rPr>
            </w:pPr>
            <w:r w:rsidRPr="00503C17">
              <w:rPr>
                <w:rFonts w:cs="Times New Roman"/>
                <w:b/>
                <w:sz w:val="24"/>
                <w:szCs w:val="24"/>
              </w:rPr>
              <w:t>Course Description</w:t>
            </w:r>
          </w:p>
        </w:tc>
        <w:tc>
          <w:tcPr>
            <w:tcW w:w="6965" w:type="dxa"/>
            <w:gridSpan w:val="3"/>
          </w:tcPr>
          <w:p w:rsidR="00AD1383" w:rsidRPr="006F34BF" w:rsidRDefault="00741F2A" w:rsidP="00741F2A">
            <w:r w:rsidRPr="00741F2A">
              <w:t>The objective</w:t>
            </w:r>
            <w:r>
              <w:t xml:space="preserve"> of this course</w:t>
            </w:r>
            <w:r w:rsidRPr="00741F2A">
              <w:t xml:space="preserve"> is to help learners develop effective interpersonal skills. Emphasis is placed on the following areas: communication styles, emotional intelligence, conflict resolution, working with teams and influencing others, workplace diversity and intercultural communication, presentation skills, and facilitation skills. As a result of acquiring and developing these interpersonal skills, learners can increase their overall professional effectiveness</w:t>
            </w:r>
            <w:r>
              <w:t xml:space="preserve">. </w:t>
            </w:r>
          </w:p>
        </w:tc>
      </w:tr>
      <w:tr w:rsidR="00AD1383" w:rsidRPr="00503C17" w:rsidTr="00BD7E73">
        <w:trPr>
          <w:trHeight w:val="1415"/>
        </w:trPr>
        <w:tc>
          <w:tcPr>
            <w:tcW w:w="2611" w:type="dxa"/>
          </w:tcPr>
          <w:p w:rsidR="00AD1383" w:rsidRPr="00503C17" w:rsidRDefault="000C5B78" w:rsidP="00B84491">
            <w:pPr>
              <w:spacing w:before="120"/>
              <w:ind w:left="227" w:hanging="227"/>
              <w:rPr>
                <w:rFonts w:cs="Times New Roman"/>
                <w:b/>
                <w:sz w:val="24"/>
                <w:szCs w:val="24"/>
              </w:rPr>
            </w:pPr>
            <w:r w:rsidRPr="00503C17">
              <w:rPr>
                <w:rFonts w:cs="Times New Roman"/>
                <w:b/>
                <w:sz w:val="24"/>
                <w:szCs w:val="24"/>
              </w:rPr>
              <w:t>Learning Outcomes</w:t>
            </w:r>
          </w:p>
        </w:tc>
        <w:tc>
          <w:tcPr>
            <w:tcW w:w="6965" w:type="dxa"/>
            <w:gridSpan w:val="3"/>
          </w:tcPr>
          <w:p w:rsidR="00AD1383" w:rsidRDefault="00D32C38" w:rsidP="00B84491">
            <w:pPr>
              <w:spacing w:before="120"/>
              <w:ind w:left="227" w:hanging="227"/>
            </w:pPr>
            <w:r>
              <w:t xml:space="preserve">Upon completion of this course, learners should be able </w:t>
            </w:r>
            <w:r w:rsidR="000C5B78" w:rsidRPr="00741F2A">
              <w:t>to:</w:t>
            </w:r>
          </w:p>
          <w:p w:rsidR="00D32C38" w:rsidRDefault="000C5B78" w:rsidP="006F34BF">
            <w:pPr>
              <w:pStyle w:val="ListParagraph"/>
              <w:numPr>
                <w:ilvl w:val="0"/>
                <w:numId w:val="1"/>
              </w:numPr>
              <w:ind w:left="357" w:hanging="357"/>
              <w:contextualSpacing w:val="0"/>
              <w:rPr>
                <w:rFonts w:asciiTheme="minorHAnsi" w:hAnsiTheme="minorHAnsi"/>
              </w:rPr>
            </w:pPr>
            <w:r w:rsidRPr="00741F2A">
              <w:rPr>
                <w:rFonts w:asciiTheme="minorHAnsi" w:hAnsiTheme="minorHAnsi"/>
              </w:rPr>
              <w:t>Understand the concepts relevant to interpersonal skills’ effectiveness, such as causes and effects of intra- and interpersonal dynamics;</w:t>
            </w:r>
          </w:p>
          <w:p w:rsidR="00AD1383" w:rsidRPr="00B84491" w:rsidRDefault="000C5B78" w:rsidP="00925BC0">
            <w:pPr>
              <w:pStyle w:val="ListParagraph"/>
              <w:numPr>
                <w:ilvl w:val="0"/>
                <w:numId w:val="1"/>
              </w:numPr>
              <w:ind w:left="357" w:hanging="357"/>
              <w:contextualSpacing w:val="0"/>
              <w:rPr>
                <w:rFonts w:asciiTheme="minorHAnsi" w:hAnsiTheme="minorHAnsi"/>
                <w:sz w:val="24"/>
                <w:szCs w:val="24"/>
              </w:rPr>
            </w:pPr>
            <w:r w:rsidRPr="00741F2A">
              <w:rPr>
                <w:rFonts w:asciiTheme="minorHAnsi" w:hAnsiTheme="minorHAnsi"/>
              </w:rPr>
              <w:t>Develop the practical interpersonal skills required to increase the effectiveness of interpersonal dealings in a professional setting.</w:t>
            </w:r>
          </w:p>
        </w:tc>
      </w:tr>
      <w:tr w:rsidR="00AD1383" w:rsidRPr="00503C17" w:rsidTr="00BD7E73">
        <w:trPr>
          <w:trHeight w:val="766"/>
        </w:trPr>
        <w:tc>
          <w:tcPr>
            <w:tcW w:w="2611" w:type="dxa"/>
          </w:tcPr>
          <w:p w:rsidR="00AD1383" w:rsidRPr="00925BC0" w:rsidRDefault="000C5B78" w:rsidP="00F47F6B">
            <w:pPr>
              <w:spacing w:before="120"/>
              <w:rPr>
                <w:rFonts w:cs="Times New Roman"/>
                <w:b/>
                <w:sz w:val="24"/>
                <w:szCs w:val="24"/>
              </w:rPr>
            </w:pPr>
            <w:r w:rsidRPr="00925BC0">
              <w:rPr>
                <w:rFonts w:cs="Times New Roman"/>
                <w:b/>
                <w:sz w:val="24"/>
                <w:szCs w:val="24"/>
              </w:rPr>
              <w:t>Course Material</w:t>
            </w:r>
          </w:p>
        </w:tc>
        <w:tc>
          <w:tcPr>
            <w:tcW w:w="6965" w:type="dxa"/>
            <w:gridSpan w:val="3"/>
          </w:tcPr>
          <w:p w:rsidR="008725F2" w:rsidRPr="008725F2" w:rsidRDefault="008725F2" w:rsidP="00F47F6B">
            <w:pPr>
              <w:spacing w:before="120"/>
              <w:rPr>
                <w:rFonts w:cs="Arial"/>
                <w:u w:val="single"/>
              </w:rPr>
            </w:pPr>
            <w:r w:rsidRPr="008725F2">
              <w:rPr>
                <w:rFonts w:cs="Arial"/>
                <w:u w:val="single"/>
              </w:rPr>
              <w:t>Required:</w:t>
            </w:r>
          </w:p>
          <w:p w:rsidR="006F34BF" w:rsidRPr="00741F2A" w:rsidRDefault="000C5B78" w:rsidP="00F47F6B">
            <w:pPr>
              <w:spacing w:before="120"/>
              <w:rPr>
                <w:rFonts w:cs="Arial"/>
              </w:rPr>
            </w:pPr>
            <w:r w:rsidRPr="00741F2A">
              <w:rPr>
                <w:rFonts w:cs="Arial"/>
              </w:rPr>
              <w:t xml:space="preserve">Reading assignments provided through </w:t>
            </w:r>
            <w:r w:rsidRPr="00741F2A">
              <w:rPr>
                <w:rFonts w:cs="Arial"/>
                <w:i/>
              </w:rPr>
              <w:t>My</w:t>
            </w:r>
            <w:r w:rsidRPr="00741F2A">
              <w:rPr>
                <w:rFonts w:cs="Arial"/>
              </w:rPr>
              <w:t>Courses.</w:t>
            </w:r>
          </w:p>
          <w:p w:rsidR="008725F2" w:rsidRPr="008725F2" w:rsidRDefault="000C5B78" w:rsidP="00F47F6B">
            <w:pPr>
              <w:spacing w:before="120"/>
              <w:rPr>
                <w:rFonts w:cs="Arial"/>
                <w:u w:val="single"/>
              </w:rPr>
            </w:pPr>
            <w:r w:rsidRPr="008725F2">
              <w:rPr>
                <w:rFonts w:cs="Arial"/>
                <w:u w:val="single"/>
              </w:rPr>
              <w:t xml:space="preserve">Optional: </w:t>
            </w:r>
          </w:p>
          <w:p w:rsidR="00AD1383" w:rsidRPr="00741F2A" w:rsidRDefault="000C5B78" w:rsidP="00F47F6B">
            <w:pPr>
              <w:spacing w:before="120"/>
              <w:rPr>
                <w:rFonts w:cs="Arial"/>
              </w:rPr>
            </w:pPr>
            <w:r w:rsidRPr="00741F2A">
              <w:rPr>
                <w:rFonts w:cs="Arial"/>
              </w:rPr>
              <w:t xml:space="preserve">Rothwell, J. D. (2010). </w:t>
            </w:r>
            <w:r w:rsidRPr="00741F2A">
              <w:rPr>
                <w:rFonts w:cs="Arial"/>
                <w:i/>
              </w:rPr>
              <w:t>In Mixed Company: Communicating in Small Groups and Teams</w:t>
            </w:r>
            <w:r w:rsidRPr="00741F2A">
              <w:rPr>
                <w:rFonts w:cs="Arial"/>
              </w:rPr>
              <w:t>. 7</w:t>
            </w:r>
            <w:r w:rsidRPr="00741F2A">
              <w:rPr>
                <w:rFonts w:cs="Arial"/>
                <w:vertAlign w:val="superscript"/>
              </w:rPr>
              <w:t>th</w:t>
            </w:r>
            <w:r w:rsidRPr="00741F2A">
              <w:rPr>
                <w:rFonts w:cs="Arial"/>
              </w:rPr>
              <w:t xml:space="preserve"> edition. Wadsworth Cengage Learning.</w:t>
            </w:r>
          </w:p>
          <w:p w:rsidR="00614A8E" w:rsidRPr="00741F2A" w:rsidRDefault="00614A8E" w:rsidP="00F47F6B">
            <w:pPr>
              <w:spacing w:before="120"/>
            </w:pPr>
            <w:r w:rsidRPr="00741F2A">
              <w:t>Goleman, D. (2000). Working with emotional intelligence. New York, NY: Bantam Books.</w:t>
            </w:r>
          </w:p>
        </w:tc>
      </w:tr>
      <w:tr w:rsidR="00AD1383" w:rsidRPr="00503C17">
        <w:trPr>
          <w:trHeight w:val="692"/>
        </w:trPr>
        <w:tc>
          <w:tcPr>
            <w:tcW w:w="2805" w:type="dxa"/>
            <w:gridSpan w:val="2"/>
          </w:tcPr>
          <w:p w:rsidR="00AD1383" w:rsidRPr="00503C17" w:rsidRDefault="000C5B78" w:rsidP="00F47F6B">
            <w:pPr>
              <w:spacing w:before="120"/>
              <w:rPr>
                <w:rFonts w:cs="Times New Roman"/>
                <w:b/>
                <w:sz w:val="24"/>
                <w:szCs w:val="24"/>
              </w:rPr>
            </w:pPr>
            <w:r w:rsidRPr="00503C17">
              <w:rPr>
                <w:rFonts w:cs="Times New Roman"/>
                <w:b/>
                <w:sz w:val="24"/>
                <w:szCs w:val="24"/>
              </w:rPr>
              <w:t>Instructional Methods</w:t>
            </w:r>
          </w:p>
        </w:tc>
        <w:tc>
          <w:tcPr>
            <w:tcW w:w="6771" w:type="dxa"/>
            <w:gridSpan w:val="2"/>
          </w:tcPr>
          <w:p w:rsidR="00AD1383" w:rsidRDefault="000C5B78" w:rsidP="00B84491">
            <w:pPr>
              <w:spacing w:before="120"/>
            </w:pPr>
            <w:r w:rsidRPr="00741F2A">
              <w:t>Teaching and learning approach is experiential, collaborative and problem-based.</w:t>
            </w:r>
          </w:p>
          <w:p w:rsidR="008725F2" w:rsidRPr="00741F2A" w:rsidRDefault="008725F2" w:rsidP="00B84491">
            <w:pPr>
              <w:spacing w:before="120"/>
              <w:rPr>
                <w:rFonts w:cs="Times New Roman"/>
              </w:rPr>
            </w:pPr>
          </w:p>
        </w:tc>
      </w:tr>
    </w:tbl>
    <w:p w:rsidR="007D3E4C" w:rsidRDefault="007D3E4C">
      <w:r>
        <w:br w:type="page"/>
      </w:r>
    </w:p>
    <w:p w:rsidR="00E72FC4" w:rsidRPr="00E72FC4" w:rsidRDefault="00E72FC4">
      <w:pPr>
        <w:rPr>
          <w:b/>
          <w:sz w:val="24"/>
          <w:szCs w:val="24"/>
        </w:rPr>
      </w:pPr>
      <w:bookmarkStart w:id="0" w:name="_GoBack"/>
      <w:r w:rsidRPr="00E72FC4">
        <w:rPr>
          <w:b/>
          <w:sz w:val="24"/>
          <w:szCs w:val="24"/>
        </w:rPr>
        <w:t>EVALUATION</w:t>
      </w:r>
    </w:p>
    <w:tbl>
      <w:tblPr>
        <w:tblW w:w="95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990"/>
        <w:gridCol w:w="6390"/>
      </w:tblGrid>
      <w:tr w:rsidR="00015492" w:rsidRPr="00015492" w:rsidTr="00015492">
        <w:tc>
          <w:tcPr>
            <w:tcW w:w="2160" w:type="dxa"/>
          </w:tcPr>
          <w:bookmarkEnd w:id="0"/>
          <w:p w:rsidR="00015492" w:rsidRPr="00015492" w:rsidRDefault="00015492" w:rsidP="00167822">
            <w:pPr>
              <w:jc w:val="center"/>
              <w:rPr>
                <w:rFonts w:ascii="Calibri" w:hAnsi="Calibri" w:cstheme="minorHAnsi"/>
                <w:b/>
              </w:rPr>
            </w:pPr>
            <w:r w:rsidRPr="00015492">
              <w:rPr>
                <w:rFonts w:ascii="Calibri" w:hAnsi="Calibri" w:cstheme="minorHAnsi"/>
                <w:b/>
              </w:rPr>
              <w:t>Item</w:t>
            </w:r>
          </w:p>
        </w:tc>
        <w:tc>
          <w:tcPr>
            <w:tcW w:w="990" w:type="dxa"/>
          </w:tcPr>
          <w:p w:rsidR="00015492" w:rsidRPr="00015492" w:rsidRDefault="00015492" w:rsidP="00167822">
            <w:pPr>
              <w:jc w:val="center"/>
              <w:rPr>
                <w:rFonts w:ascii="Calibri" w:hAnsi="Calibri" w:cstheme="minorHAnsi"/>
                <w:b/>
              </w:rPr>
            </w:pPr>
            <w:r w:rsidRPr="00015492">
              <w:rPr>
                <w:rFonts w:ascii="Calibri" w:hAnsi="Calibri" w:cstheme="minorHAnsi"/>
                <w:b/>
              </w:rPr>
              <w:t>%</w:t>
            </w:r>
          </w:p>
        </w:tc>
        <w:tc>
          <w:tcPr>
            <w:tcW w:w="6390" w:type="dxa"/>
          </w:tcPr>
          <w:p w:rsidR="00015492" w:rsidRPr="00015492" w:rsidRDefault="00015492" w:rsidP="00167822">
            <w:pPr>
              <w:jc w:val="center"/>
              <w:rPr>
                <w:rFonts w:ascii="Calibri" w:hAnsi="Calibri" w:cstheme="minorHAnsi"/>
                <w:b/>
              </w:rPr>
            </w:pPr>
            <w:r w:rsidRPr="00015492">
              <w:rPr>
                <w:rFonts w:ascii="Calibri" w:hAnsi="Calibri" w:cstheme="minorHAnsi"/>
                <w:b/>
              </w:rPr>
              <w:t>Explanation</w:t>
            </w:r>
          </w:p>
        </w:tc>
      </w:tr>
      <w:tr w:rsidR="00015492" w:rsidRPr="00015492" w:rsidTr="00015492">
        <w:tc>
          <w:tcPr>
            <w:tcW w:w="2160" w:type="dxa"/>
          </w:tcPr>
          <w:p w:rsidR="00015492" w:rsidRPr="00015492" w:rsidRDefault="00015492" w:rsidP="00483BA7">
            <w:pPr>
              <w:rPr>
                <w:rFonts w:ascii="Calibri" w:hAnsi="Calibri" w:cstheme="minorHAnsi"/>
                <w:b/>
              </w:rPr>
            </w:pPr>
            <w:r w:rsidRPr="00015492">
              <w:rPr>
                <w:rFonts w:ascii="Calibri" w:hAnsi="Calibri" w:cstheme="minorHAnsi"/>
              </w:rPr>
              <w:t xml:space="preserve">Active participation </w:t>
            </w:r>
          </w:p>
        </w:tc>
        <w:tc>
          <w:tcPr>
            <w:tcW w:w="990" w:type="dxa"/>
          </w:tcPr>
          <w:p w:rsidR="00015492" w:rsidRPr="00015492" w:rsidRDefault="00015492" w:rsidP="00483BA7">
            <w:pPr>
              <w:ind w:left="360"/>
              <w:jc w:val="right"/>
              <w:rPr>
                <w:rFonts w:ascii="Calibri" w:hAnsi="Calibri" w:cstheme="minorHAnsi"/>
              </w:rPr>
            </w:pPr>
            <w:r w:rsidRPr="00015492">
              <w:rPr>
                <w:rFonts w:ascii="Calibri" w:hAnsi="Calibri" w:cstheme="minorHAnsi"/>
              </w:rPr>
              <w:t>10 %</w:t>
            </w:r>
          </w:p>
        </w:tc>
        <w:tc>
          <w:tcPr>
            <w:tcW w:w="6390" w:type="dxa"/>
          </w:tcPr>
          <w:p w:rsidR="00015492" w:rsidRPr="00015492" w:rsidRDefault="00015492" w:rsidP="00015492">
            <w:pPr>
              <w:numPr>
                <w:ilvl w:val="0"/>
                <w:numId w:val="16"/>
              </w:numPr>
              <w:spacing w:after="0" w:line="240" w:lineRule="auto"/>
              <w:contextualSpacing/>
              <w:rPr>
                <w:rFonts w:ascii="Calibri" w:hAnsi="Calibri" w:cstheme="minorHAnsi"/>
              </w:rPr>
            </w:pPr>
            <w:r w:rsidRPr="00015492">
              <w:rPr>
                <w:rFonts w:ascii="Calibri" w:hAnsi="Calibri" w:cstheme="minorHAnsi"/>
              </w:rPr>
              <w:t xml:space="preserve">This course consists of a community of learners of which you are an integral member; your active participation is therefore essential to its success. This means: attending class; visiting </w:t>
            </w:r>
            <w:r w:rsidRPr="00015492">
              <w:rPr>
                <w:rFonts w:ascii="Calibri" w:hAnsi="Calibri" w:cstheme="minorHAnsi"/>
                <w:i/>
              </w:rPr>
              <w:t>myCourses</w:t>
            </w:r>
            <w:r w:rsidRPr="00015492">
              <w:rPr>
                <w:rFonts w:ascii="Calibri" w:hAnsi="Calibri" w:cstheme="minorHAnsi"/>
              </w:rPr>
              <w:t xml:space="preserve">, doing the assigned readings/exercises before class; and engaging in class discussions/activities. </w:t>
            </w:r>
          </w:p>
          <w:p w:rsidR="00015492" w:rsidRPr="00015492" w:rsidRDefault="00015492" w:rsidP="00015492">
            <w:pPr>
              <w:numPr>
                <w:ilvl w:val="0"/>
                <w:numId w:val="16"/>
              </w:numPr>
              <w:spacing w:after="0" w:line="240" w:lineRule="auto"/>
              <w:contextualSpacing/>
              <w:rPr>
                <w:rFonts w:ascii="Calibri" w:hAnsi="Calibri" w:cstheme="minorHAnsi"/>
                <w:b/>
              </w:rPr>
            </w:pPr>
            <w:r w:rsidRPr="00015492">
              <w:rPr>
                <w:rFonts w:ascii="Calibri" w:hAnsi="Calibri" w:cstheme="minorHAnsi"/>
                <w:b/>
              </w:rPr>
              <w:t>A minimum attendance of 75% is required in order to pass the course.</w:t>
            </w:r>
          </w:p>
        </w:tc>
      </w:tr>
      <w:tr w:rsidR="00015492" w:rsidRPr="00015492" w:rsidTr="00015492">
        <w:tc>
          <w:tcPr>
            <w:tcW w:w="2160" w:type="dxa"/>
          </w:tcPr>
          <w:p w:rsidR="00015492" w:rsidRPr="00015492" w:rsidRDefault="00015492" w:rsidP="00483BA7">
            <w:pPr>
              <w:rPr>
                <w:rFonts w:ascii="Calibri" w:hAnsi="Calibri" w:cstheme="minorHAnsi"/>
              </w:rPr>
            </w:pPr>
            <w:r w:rsidRPr="00015492">
              <w:rPr>
                <w:rFonts w:ascii="Calibri" w:hAnsi="Calibri" w:cstheme="minorHAnsi"/>
              </w:rPr>
              <w:t>Case studies</w:t>
            </w:r>
          </w:p>
        </w:tc>
        <w:tc>
          <w:tcPr>
            <w:tcW w:w="990" w:type="dxa"/>
          </w:tcPr>
          <w:p w:rsidR="00015492" w:rsidRPr="00015492" w:rsidRDefault="00015492" w:rsidP="00483BA7">
            <w:pPr>
              <w:jc w:val="right"/>
              <w:rPr>
                <w:rFonts w:ascii="Calibri" w:hAnsi="Calibri" w:cstheme="minorHAnsi"/>
              </w:rPr>
            </w:pPr>
            <w:r w:rsidRPr="00015492">
              <w:rPr>
                <w:rFonts w:ascii="Calibri" w:hAnsi="Calibri" w:cstheme="minorHAnsi"/>
              </w:rPr>
              <w:t>25 %</w:t>
            </w:r>
          </w:p>
        </w:tc>
        <w:tc>
          <w:tcPr>
            <w:tcW w:w="6390" w:type="dxa"/>
          </w:tcPr>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Review of case studies is one of the most effective ways to learn new skills and assimilate the course material</w:t>
            </w:r>
          </w:p>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3 individual cases studies, 5% each</w:t>
            </w:r>
          </w:p>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In small groups of 3-4, students will be asked to make a short presentation on one of the topics related to the course content. The topics of the presentation will be determined by the instructor (10%).</w:t>
            </w:r>
          </w:p>
        </w:tc>
      </w:tr>
      <w:tr w:rsidR="00015492" w:rsidRPr="00015492" w:rsidTr="00015492">
        <w:trPr>
          <w:trHeight w:val="353"/>
        </w:trPr>
        <w:tc>
          <w:tcPr>
            <w:tcW w:w="2160" w:type="dxa"/>
            <w:tcBorders>
              <w:top w:val="single" w:sz="4" w:space="0" w:color="auto"/>
              <w:left w:val="single" w:sz="4" w:space="0" w:color="auto"/>
              <w:bottom w:val="single" w:sz="4" w:space="0" w:color="auto"/>
              <w:right w:val="single" w:sz="4" w:space="0" w:color="auto"/>
            </w:tcBorders>
          </w:tcPr>
          <w:p w:rsidR="00015492" w:rsidRPr="00015492" w:rsidRDefault="00015492" w:rsidP="00483BA7">
            <w:pPr>
              <w:rPr>
                <w:rFonts w:ascii="Calibri" w:hAnsi="Calibri" w:cstheme="minorHAnsi"/>
              </w:rPr>
            </w:pPr>
            <w:r w:rsidRPr="00015492">
              <w:rPr>
                <w:rFonts w:ascii="Calibri" w:hAnsi="Calibri" w:cstheme="minorHAnsi"/>
              </w:rPr>
              <w:t xml:space="preserve">Personal Learning Journal </w:t>
            </w:r>
          </w:p>
        </w:tc>
        <w:tc>
          <w:tcPr>
            <w:tcW w:w="990" w:type="dxa"/>
            <w:tcBorders>
              <w:top w:val="single" w:sz="4" w:space="0" w:color="auto"/>
              <w:left w:val="single" w:sz="4" w:space="0" w:color="auto"/>
              <w:bottom w:val="single" w:sz="4" w:space="0" w:color="auto"/>
              <w:right w:val="single" w:sz="4" w:space="0" w:color="auto"/>
            </w:tcBorders>
          </w:tcPr>
          <w:p w:rsidR="00015492" w:rsidRPr="00015492" w:rsidRDefault="00015492" w:rsidP="00483BA7">
            <w:pPr>
              <w:jc w:val="right"/>
              <w:rPr>
                <w:rFonts w:ascii="Calibri" w:hAnsi="Calibri" w:cstheme="minorHAnsi"/>
              </w:rPr>
            </w:pPr>
            <w:r w:rsidRPr="00015492">
              <w:rPr>
                <w:rFonts w:ascii="Calibri" w:hAnsi="Calibri" w:cstheme="minorHAnsi"/>
              </w:rPr>
              <w:t>20 %</w:t>
            </w:r>
          </w:p>
        </w:tc>
        <w:tc>
          <w:tcPr>
            <w:tcW w:w="6390" w:type="dxa"/>
            <w:tcBorders>
              <w:top w:val="single" w:sz="4" w:space="0" w:color="auto"/>
              <w:left w:val="single" w:sz="4" w:space="0" w:color="auto"/>
              <w:bottom w:val="single" w:sz="4" w:space="0" w:color="auto"/>
              <w:right w:val="single" w:sz="4" w:space="0" w:color="auto"/>
            </w:tcBorders>
          </w:tcPr>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Journals reinforce an active learning approach by giving you the opportunity to relate the concepts covered in the course to your own experiences. You can write about your observations, insights, reflections stimulated by the course (i.e. readings, activities, case studies, in-class discussions), as well as various aspects of your own evolution throughout the course. For example, reflect on how a concept reviewed in the course could be applied to address an issue that you are facing in your professional context.</w:t>
            </w:r>
          </w:p>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To be submitted a</w:t>
            </w:r>
            <w:r>
              <w:rPr>
                <w:rFonts w:ascii="Calibri" w:hAnsi="Calibri" w:cstheme="minorHAnsi"/>
              </w:rPr>
              <w:t xml:space="preserve">fter each class </w:t>
            </w:r>
          </w:p>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100 words minimum, must be submitted before the next class</w:t>
            </w:r>
            <w:r w:rsidRPr="00015492">
              <w:rPr>
                <w:rFonts w:ascii="Calibri" w:hAnsi="Calibri" w:cstheme="minorHAnsi"/>
                <w:i/>
              </w:rPr>
              <w:t xml:space="preserve"> </w:t>
            </w:r>
            <w:r w:rsidRPr="00015492">
              <w:rPr>
                <w:rFonts w:ascii="Calibri" w:hAnsi="Calibri" w:cstheme="minorHAnsi"/>
              </w:rPr>
              <w:t xml:space="preserve">on </w:t>
            </w:r>
            <w:r w:rsidRPr="00015492">
              <w:rPr>
                <w:rFonts w:ascii="Calibri" w:hAnsi="Calibri" w:cstheme="minorHAnsi"/>
                <w:i/>
              </w:rPr>
              <w:t xml:space="preserve">myCourses. </w:t>
            </w:r>
          </w:p>
        </w:tc>
      </w:tr>
      <w:tr w:rsidR="00015492" w:rsidRPr="00015492" w:rsidTr="00015492">
        <w:tc>
          <w:tcPr>
            <w:tcW w:w="2160" w:type="dxa"/>
            <w:tcBorders>
              <w:top w:val="single" w:sz="4" w:space="0" w:color="auto"/>
              <w:left w:val="single" w:sz="4" w:space="0" w:color="auto"/>
              <w:bottom w:val="single" w:sz="4" w:space="0" w:color="auto"/>
              <w:right w:val="single" w:sz="4" w:space="0" w:color="auto"/>
            </w:tcBorders>
          </w:tcPr>
          <w:p w:rsidR="00015492" w:rsidRPr="00015492" w:rsidRDefault="00015492" w:rsidP="00483BA7">
            <w:pPr>
              <w:rPr>
                <w:rFonts w:ascii="Calibri" w:hAnsi="Calibri" w:cstheme="minorHAnsi"/>
              </w:rPr>
            </w:pPr>
            <w:r w:rsidRPr="00015492">
              <w:rPr>
                <w:rFonts w:ascii="Calibri" w:hAnsi="Calibri" w:cstheme="minorHAnsi"/>
              </w:rPr>
              <w:t>Quiz</w:t>
            </w:r>
          </w:p>
        </w:tc>
        <w:tc>
          <w:tcPr>
            <w:tcW w:w="990" w:type="dxa"/>
            <w:tcBorders>
              <w:top w:val="single" w:sz="4" w:space="0" w:color="auto"/>
              <w:left w:val="single" w:sz="4" w:space="0" w:color="auto"/>
              <w:bottom w:val="single" w:sz="4" w:space="0" w:color="auto"/>
              <w:right w:val="single" w:sz="4" w:space="0" w:color="auto"/>
            </w:tcBorders>
          </w:tcPr>
          <w:p w:rsidR="00015492" w:rsidRPr="00015492" w:rsidRDefault="00015492" w:rsidP="00483BA7">
            <w:pPr>
              <w:jc w:val="right"/>
              <w:rPr>
                <w:rFonts w:ascii="Calibri" w:hAnsi="Calibri" w:cstheme="minorHAnsi"/>
              </w:rPr>
            </w:pPr>
            <w:r w:rsidRPr="00015492">
              <w:rPr>
                <w:rFonts w:ascii="Calibri" w:hAnsi="Calibri" w:cstheme="minorHAnsi"/>
              </w:rPr>
              <w:t>15 %</w:t>
            </w:r>
          </w:p>
        </w:tc>
        <w:tc>
          <w:tcPr>
            <w:tcW w:w="6390" w:type="dxa"/>
            <w:tcBorders>
              <w:top w:val="single" w:sz="4" w:space="0" w:color="auto"/>
              <w:left w:val="single" w:sz="4" w:space="0" w:color="auto"/>
              <w:bottom w:val="single" w:sz="4" w:space="0" w:color="auto"/>
              <w:right w:val="single" w:sz="4" w:space="0" w:color="auto"/>
            </w:tcBorders>
          </w:tcPr>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 xml:space="preserve">Multiple choices questions. </w:t>
            </w:r>
          </w:p>
          <w:p w:rsidR="00015492" w:rsidRPr="00015492" w:rsidRDefault="00015492" w:rsidP="00015492">
            <w:pPr>
              <w:numPr>
                <w:ilvl w:val="0"/>
                <w:numId w:val="15"/>
              </w:numPr>
              <w:spacing w:after="0" w:line="240" w:lineRule="auto"/>
              <w:rPr>
                <w:rFonts w:ascii="Calibri" w:hAnsi="Calibri" w:cstheme="minorHAnsi"/>
              </w:rPr>
            </w:pPr>
            <w:r w:rsidRPr="00015492">
              <w:rPr>
                <w:rFonts w:ascii="Calibri" w:hAnsi="Calibri" w:cstheme="minorHAnsi"/>
              </w:rPr>
              <w:t xml:space="preserve">3 quizzes, 5% each </w:t>
            </w:r>
          </w:p>
        </w:tc>
      </w:tr>
      <w:tr w:rsidR="00015492" w:rsidRPr="00015492" w:rsidTr="00015492">
        <w:tc>
          <w:tcPr>
            <w:tcW w:w="2160" w:type="dxa"/>
            <w:tcBorders>
              <w:top w:val="single" w:sz="4" w:space="0" w:color="auto"/>
              <w:left w:val="single" w:sz="4" w:space="0" w:color="auto"/>
              <w:bottom w:val="single" w:sz="4" w:space="0" w:color="auto"/>
              <w:right w:val="single" w:sz="4" w:space="0" w:color="auto"/>
            </w:tcBorders>
          </w:tcPr>
          <w:p w:rsidR="00015492" w:rsidRPr="00015492" w:rsidRDefault="00015492" w:rsidP="00483BA7">
            <w:pPr>
              <w:rPr>
                <w:rFonts w:ascii="Calibri" w:hAnsi="Calibri" w:cstheme="minorHAnsi"/>
              </w:rPr>
            </w:pPr>
            <w:r w:rsidRPr="00015492">
              <w:rPr>
                <w:rFonts w:ascii="Calibri" w:hAnsi="Calibri" w:cstheme="minorHAnsi"/>
              </w:rPr>
              <w:t>Final exam</w:t>
            </w:r>
          </w:p>
        </w:tc>
        <w:tc>
          <w:tcPr>
            <w:tcW w:w="990" w:type="dxa"/>
            <w:tcBorders>
              <w:top w:val="single" w:sz="4" w:space="0" w:color="auto"/>
              <w:left w:val="single" w:sz="4" w:space="0" w:color="auto"/>
              <w:bottom w:val="single" w:sz="4" w:space="0" w:color="auto"/>
              <w:right w:val="single" w:sz="4" w:space="0" w:color="auto"/>
            </w:tcBorders>
          </w:tcPr>
          <w:p w:rsidR="00015492" w:rsidRPr="00015492" w:rsidRDefault="00015492" w:rsidP="00483BA7">
            <w:pPr>
              <w:jc w:val="right"/>
              <w:rPr>
                <w:rFonts w:ascii="Calibri" w:hAnsi="Calibri" w:cstheme="minorHAnsi"/>
              </w:rPr>
            </w:pPr>
            <w:r w:rsidRPr="00015492">
              <w:rPr>
                <w:rFonts w:ascii="Calibri" w:hAnsi="Calibri" w:cstheme="minorHAnsi"/>
              </w:rPr>
              <w:t>30 %</w:t>
            </w:r>
          </w:p>
        </w:tc>
        <w:tc>
          <w:tcPr>
            <w:tcW w:w="6390" w:type="dxa"/>
            <w:tcBorders>
              <w:top w:val="single" w:sz="4" w:space="0" w:color="auto"/>
              <w:left w:val="single" w:sz="4" w:space="0" w:color="auto"/>
              <w:bottom w:val="single" w:sz="4" w:space="0" w:color="auto"/>
              <w:right w:val="single" w:sz="4" w:space="0" w:color="auto"/>
            </w:tcBorders>
          </w:tcPr>
          <w:p w:rsidR="00015492" w:rsidRPr="00015492" w:rsidRDefault="00100453" w:rsidP="00015492">
            <w:pPr>
              <w:numPr>
                <w:ilvl w:val="0"/>
                <w:numId w:val="15"/>
              </w:numPr>
              <w:spacing w:after="0" w:line="240" w:lineRule="auto"/>
              <w:rPr>
                <w:rFonts w:ascii="Calibri" w:hAnsi="Calibri" w:cstheme="minorHAnsi"/>
              </w:rPr>
            </w:pPr>
            <w:r w:rsidRPr="00100453">
              <w:rPr>
                <w:rFonts w:ascii="Calibri" w:hAnsi="Calibri" w:cstheme="minorHAnsi"/>
                <w:highlight w:val="yellow"/>
              </w:rPr>
              <w:t>Indicate da</w:t>
            </w:r>
            <w:r w:rsidRPr="007D3E4C">
              <w:rPr>
                <w:rFonts w:ascii="Calibri" w:hAnsi="Calibri" w:cstheme="minorHAnsi"/>
                <w:highlight w:val="yellow"/>
              </w:rPr>
              <w:t>te</w:t>
            </w:r>
            <w:r w:rsidR="007D3E4C" w:rsidRPr="007D3E4C">
              <w:rPr>
                <w:rFonts w:ascii="Calibri" w:hAnsi="Calibri" w:cstheme="minorHAnsi"/>
                <w:highlight w:val="yellow"/>
              </w:rPr>
              <w:t xml:space="preserve"> / format</w:t>
            </w:r>
          </w:p>
          <w:p w:rsidR="00015492" w:rsidRPr="00015492" w:rsidRDefault="00015492" w:rsidP="00015492">
            <w:pPr>
              <w:ind w:left="360"/>
              <w:rPr>
                <w:rFonts w:ascii="Calibri" w:hAnsi="Calibri" w:cstheme="minorHAnsi"/>
              </w:rPr>
            </w:pPr>
            <w:r w:rsidRPr="00015492">
              <w:rPr>
                <w:rFonts w:ascii="Calibri" w:hAnsi="Calibri" w:cstheme="minorHAnsi"/>
              </w:rPr>
              <w:t>The passing grade for the final exam is 65 %.</w:t>
            </w:r>
          </w:p>
        </w:tc>
      </w:tr>
      <w:tr w:rsidR="00015492" w:rsidRPr="00997549" w:rsidTr="00015492">
        <w:trPr>
          <w:trHeight w:val="242"/>
        </w:trPr>
        <w:tc>
          <w:tcPr>
            <w:tcW w:w="2160" w:type="dxa"/>
          </w:tcPr>
          <w:p w:rsidR="00015492" w:rsidRPr="00015492" w:rsidRDefault="00015492" w:rsidP="00483BA7">
            <w:pPr>
              <w:rPr>
                <w:rFonts w:ascii="Calibri" w:hAnsi="Calibri" w:cstheme="minorHAnsi"/>
                <w:b/>
              </w:rPr>
            </w:pPr>
            <w:r w:rsidRPr="00015492">
              <w:rPr>
                <w:rFonts w:ascii="Calibri" w:hAnsi="Calibri" w:cstheme="minorHAnsi"/>
                <w:b/>
              </w:rPr>
              <w:t>Total</w:t>
            </w:r>
          </w:p>
        </w:tc>
        <w:tc>
          <w:tcPr>
            <w:tcW w:w="990" w:type="dxa"/>
          </w:tcPr>
          <w:p w:rsidR="00015492" w:rsidRPr="00997549" w:rsidRDefault="00015492" w:rsidP="00483BA7">
            <w:pPr>
              <w:jc w:val="right"/>
              <w:rPr>
                <w:rFonts w:ascii="Calibri" w:hAnsi="Calibri" w:cstheme="minorHAnsi"/>
                <w:b/>
              </w:rPr>
            </w:pPr>
            <w:r w:rsidRPr="00015492">
              <w:rPr>
                <w:rFonts w:ascii="Calibri" w:hAnsi="Calibri" w:cstheme="minorHAnsi"/>
                <w:b/>
              </w:rPr>
              <w:t>100%</w:t>
            </w:r>
          </w:p>
        </w:tc>
        <w:tc>
          <w:tcPr>
            <w:tcW w:w="6390" w:type="dxa"/>
          </w:tcPr>
          <w:p w:rsidR="00015492" w:rsidRPr="00997549" w:rsidRDefault="00015492" w:rsidP="00483BA7">
            <w:pPr>
              <w:rPr>
                <w:rFonts w:ascii="Calibri" w:eastAsia="Times New Roman" w:hAnsi="Calibri" w:cstheme="minorHAnsi"/>
              </w:rPr>
            </w:pPr>
          </w:p>
        </w:tc>
      </w:tr>
    </w:tbl>
    <w:p w:rsidR="000E12D6" w:rsidRPr="00B05B8C" w:rsidRDefault="000C5B78" w:rsidP="00F47F6B">
      <w:pPr>
        <w:spacing w:before="240" w:after="0" w:line="240" w:lineRule="auto"/>
        <w:jc w:val="center"/>
        <w:rPr>
          <w:b/>
          <w:bCs/>
          <w:i/>
        </w:rPr>
      </w:pPr>
      <w:r w:rsidRPr="00B05B8C">
        <w:rPr>
          <w:b/>
          <w:bCs/>
          <w:i/>
        </w:rPr>
        <w:t>In the event of extraordinary circumstances beyond the University’s control, the content</w:t>
      </w:r>
    </w:p>
    <w:p w:rsidR="000756FE" w:rsidRPr="00B05B8C" w:rsidRDefault="000C5B78" w:rsidP="00601CB0">
      <w:pPr>
        <w:spacing w:after="0" w:line="240" w:lineRule="auto"/>
        <w:jc w:val="center"/>
        <w:rPr>
          <w:b/>
          <w:bCs/>
          <w:i/>
        </w:rPr>
      </w:pPr>
      <w:r w:rsidRPr="00B05B8C">
        <w:rPr>
          <w:b/>
          <w:bCs/>
          <w:i/>
        </w:rPr>
        <w:t>and/or evaluation scheme in this course is subject to change.</w:t>
      </w:r>
    </w:p>
    <w:p w:rsidR="0008411C" w:rsidRPr="00503C17" w:rsidRDefault="000C5B78" w:rsidP="000756FE">
      <w:pPr>
        <w:spacing w:after="0" w:line="240" w:lineRule="auto"/>
      </w:pPr>
      <w:r w:rsidRPr="00503C17">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774"/>
      </w:tblGrid>
      <w:tr w:rsidR="00773C02" w:rsidRPr="00503C17">
        <w:trPr>
          <w:trHeight w:val="426"/>
        </w:trPr>
        <w:tc>
          <w:tcPr>
            <w:tcW w:w="9576" w:type="dxa"/>
            <w:gridSpan w:val="2"/>
          </w:tcPr>
          <w:p w:rsidR="00773C02" w:rsidRPr="00503C17" w:rsidRDefault="008725F2" w:rsidP="00F077E3">
            <w:pPr>
              <w:rPr>
                <w:rFonts w:cs="Times New Roman"/>
                <w:b/>
                <w:i/>
                <w:sz w:val="24"/>
                <w:szCs w:val="24"/>
              </w:rPr>
            </w:pPr>
            <w:r>
              <w:rPr>
                <w:rFonts w:cs="Times New Roman"/>
                <w:b/>
                <w:sz w:val="24"/>
                <w:szCs w:val="24"/>
              </w:rPr>
              <w:lastRenderedPageBreak/>
              <w:t xml:space="preserve">UNIVERSITY </w:t>
            </w:r>
            <w:r w:rsidR="000C5B78" w:rsidRPr="00503C17">
              <w:rPr>
                <w:rFonts w:cs="Times New Roman"/>
                <w:b/>
                <w:sz w:val="24"/>
                <w:szCs w:val="24"/>
              </w:rPr>
              <w:t>POLICIES</w:t>
            </w:r>
          </w:p>
        </w:tc>
      </w:tr>
      <w:tr w:rsidR="00716A34" w:rsidRPr="00503C17">
        <w:tc>
          <w:tcPr>
            <w:tcW w:w="9576" w:type="dxa"/>
            <w:gridSpan w:val="2"/>
          </w:tcPr>
          <w:p w:rsidR="00DA2419" w:rsidRPr="00503C17" w:rsidRDefault="000C5B78" w:rsidP="003B07DF">
            <w:pPr>
              <w:rPr>
                <w:rFonts w:cs="Times New Roman"/>
                <w:iCs/>
                <w:sz w:val="24"/>
                <w:szCs w:val="24"/>
              </w:rPr>
            </w:pPr>
            <w:r w:rsidRPr="00503C17">
              <w:rPr>
                <w:rFonts w:cs="Times New Roman"/>
                <w:b/>
                <w:i/>
                <w:sz w:val="24"/>
                <w:szCs w:val="24"/>
              </w:rPr>
              <w:t>Academic Integrity</w:t>
            </w:r>
          </w:p>
          <w:p w:rsidR="00716A34" w:rsidRPr="00503C17" w:rsidRDefault="000C5B78" w:rsidP="003B07DF">
            <w:pPr>
              <w:rPr>
                <w:rFonts w:cs="Times New Roman"/>
                <w:iCs/>
                <w:sz w:val="24"/>
                <w:szCs w:val="24"/>
              </w:rPr>
            </w:pPr>
            <w:r w:rsidRPr="00503C17">
              <w:rPr>
                <w:rFonts w:cs="Times New Roman"/>
                <w:iCs/>
                <w:sz w:val="24"/>
                <w:szCs w:val="24"/>
              </w:rPr>
              <w:t xml:space="preserve">McGill University values academic integrity. Therefore all students must understand the meaning and consequences of cheating, plagiarism and other academic offences under the Code of Student Conduct and Disciplinary Procedures (see </w:t>
            </w:r>
            <w:hyperlink r:id="rId7" w:history="1">
              <w:r w:rsidR="00326BD6" w:rsidRPr="00EE7ACD">
                <w:rPr>
                  <w:rStyle w:val="Hyperlink"/>
                  <w:rFonts w:cs="Times New Roman"/>
                  <w:i/>
                  <w:iCs/>
                  <w:sz w:val="24"/>
                  <w:szCs w:val="24"/>
                </w:rPr>
                <w:t>www.mcgill.ca/integrity</w:t>
              </w:r>
            </w:hyperlink>
            <w:r w:rsidRPr="00503C17">
              <w:rPr>
                <w:rFonts w:cs="Times New Roman"/>
                <w:iCs/>
                <w:sz w:val="24"/>
                <w:szCs w:val="24"/>
              </w:rPr>
              <w:t xml:space="preserve"> for more information).</w:t>
            </w:r>
          </w:p>
          <w:p w:rsidR="00716A34" w:rsidRPr="00503C17" w:rsidRDefault="00E72FC4" w:rsidP="003B07DF">
            <w:pPr>
              <w:rPr>
                <w:rFonts w:cs="Times New Roman"/>
                <w:i/>
                <w:sz w:val="24"/>
                <w:szCs w:val="24"/>
              </w:rPr>
            </w:pPr>
          </w:p>
          <w:p w:rsidR="00716A34" w:rsidRPr="00503C17" w:rsidRDefault="000C5B78" w:rsidP="003B07DF">
            <w:pPr>
              <w:rPr>
                <w:rFonts w:cs="Times New Roman"/>
                <w:iCs/>
                <w:sz w:val="24"/>
                <w:szCs w:val="24"/>
                <w:lang w:val="fr-CA"/>
              </w:rPr>
            </w:pPr>
            <w:r w:rsidRPr="00503C17">
              <w:rPr>
                <w:rFonts w:cs="Times New Roman"/>
                <w:iCs/>
                <w:sz w:val="24"/>
                <w:szCs w:val="24"/>
                <w:lang w:val="fr-CA"/>
              </w:rPr>
              <w:t xml:space="preserve">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 </w:t>
            </w:r>
            <w:hyperlink r:id="rId8" w:history="1">
              <w:r w:rsidRPr="00503C17">
                <w:rPr>
                  <w:rStyle w:val="Hyperlink"/>
                  <w:rFonts w:cs="Times New Roman"/>
                  <w:i/>
                  <w:iCs/>
                  <w:sz w:val="24"/>
                  <w:szCs w:val="24"/>
                  <w:lang w:val="fr-CA"/>
                </w:rPr>
                <w:t>www.mcgill.ca/integrity</w:t>
              </w:r>
            </w:hyperlink>
            <w:r w:rsidRPr="00503C17">
              <w:rPr>
                <w:rFonts w:cs="Times New Roman"/>
                <w:iCs/>
                <w:sz w:val="24"/>
                <w:szCs w:val="24"/>
                <w:lang w:val="fr-CA"/>
              </w:rPr>
              <w:t>).</w:t>
            </w:r>
          </w:p>
          <w:p w:rsidR="00716A34" w:rsidRPr="00503C17" w:rsidRDefault="00E72FC4" w:rsidP="003B07DF">
            <w:pPr>
              <w:rPr>
                <w:rFonts w:cs="Times New Roman"/>
                <w:sz w:val="24"/>
                <w:szCs w:val="24"/>
                <w:lang w:val="fr-CA"/>
              </w:rPr>
            </w:pPr>
          </w:p>
        </w:tc>
      </w:tr>
      <w:tr w:rsidR="0008411C" w:rsidRPr="00503C17">
        <w:tc>
          <w:tcPr>
            <w:tcW w:w="9576" w:type="dxa"/>
            <w:gridSpan w:val="2"/>
          </w:tcPr>
          <w:p w:rsidR="0008411C" w:rsidRPr="00503C17" w:rsidRDefault="000C5B78" w:rsidP="0008411C">
            <w:pPr>
              <w:rPr>
                <w:rFonts w:cs="Times New Roman"/>
                <w:b/>
                <w:i/>
                <w:sz w:val="24"/>
                <w:szCs w:val="24"/>
              </w:rPr>
            </w:pPr>
            <w:r w:rsidRPr="00503C17">
              <w:rPr>
                <w:rFonts w:cs="Times New Roman"/>
                <w:b/>
                <w:i/>
                <w:sz w:val="24"/>
                <w:szCs w:val="24"/>
              </w:rPr>
              <w:t>Right to submit in English or French</w:t>
            </w:r>
          </w:p>
          <w:p w:rsidR="0008411C" w:rsidRPr="00503C17" w:rsidRDefault="000C5B78" w:rsidP="0008411C">
            <w:pPr>
              <w:rPr>
                <w:rFonts w:cs="Times New Roman"/>
                <w:sz w:val="24"/>
                <w:szCs w:val="24"/>
              </w:rPr>
            </w:pPr>
            <w:r w:rsidRPr="00503C17">
              <w:rPr>
                <w:rFonts w:cs="Times New Roman"/>
                <w:sz w:val="24"/>
                <w:szCs w:val="24"/>
              </w:rPr>
              <w:t xml:space="preserve">In accord with McGill University's charter of students' rights, students in this course have the right to submit in English or in French any written work that is to be graded. </w:t>
            </w:r>
          </w:p>
          <w:p w:rsidR="0008411C" w:rsidRPr="00503C17" w:rsidRDefault="00E72FC4" w:rsidP="0008411C">
            <w:pPr>
              <w:rPr>
                <w:rFonts w:cs="Times New Roman"/>
                <w:sz w:val="24"/>
                <w:szCs w:val="24"/>
              </w:rPr>
            </w:pPr>
          </w:p>
          <w:p w:rsidR="0008411C" w:rsidRPr="00503C17" w:rsidRDefault="000C5B78" w:rsidP="0008411C">
            <w:pPr>
              <w:rPr>
                <w:rFonts w:cs="Times New Roman"/>
                <w:sz w:val="24"/>
                <w:szCs w:val="24"/>
              </w:rPr>
            </w:pPr>
            <w:r w:rsidRPr="00503C17">
              <w:rPr>
                <w:rFonts w:cs="Times New Roman"/>
                <w:sz w:val="24"/>
                <w:szCs w:val="24"/>
              </w:rPr>
              <w:t>In cases where language acquisition is part of the assessment objectives, the work must be submitted in the language evaluated.</w:t>
            </w:r>
          </w:p>
          <w:p w:rsidR="0008411C" w:rsidRPr="00503C17" w:rsidRDefault="00E72FC4" w:rsidP="0008411C">
            <w:pPr>
              <w:rPr>
                <w:rFonts w:cs="Times New Roman"/>
                <w:sz w:val="24"/>
                <w:szCs w:val="24"/>
              </w:rPr>
            </w:pPr>
          </w:p>
        </w:tc>
      </w:tr>
      <w:tr w:rsidR="0008411C" w:rsidRPr="00503C17">
        <w:tc>
          <w:tcPr>
            <w:tcW w:w="9576" w:type="dxa"/>
            <w:gridSpan w:val="2"/>
          </w:tcPr>
          <w:p w:rsidR="0008411C" w:rsidRPr="00503C17" w:rsidRDefault="000C5B78" w:rsidP="0008411C">
            <w:pPr>
              <w:rPr>
                <w:rFonts w:cs="Times New Roman"/>
                <w:b/>
                <w:i/>
                <w:sz w:val="24"/>
                <w:szCs w:val="24"/>
              </w:rPr>
            </w:pPr>
            <w:r w:rsidRPr="00503C17">
              <w:rPr>
                <w:rFonts w:cs="Times New Roman"/>
                <w:b/>
                <w:i/>
                <w:sz w:val="24"/>
                <w:szCs w:val="24"/>
              </w:rPr>
              <w:t>Email Policy</w:t>
            </w:r>
          </w:p>
          <w:p w:rsidR="0008411C" w:rsidRPr="00503C17" w:rsidRDefault="000C5B78" w:rsidP="0008411C">
            <w:pPr>
              <w:rPr>
                <w:rFonts w:cs="Times New Roman"/>
                <w:sz w:val="24"/>
                <w:szCs w:val="24"/>
              </w:rPr>
            </w:pPr>
            <w:r w:rsidRPr="00503C17">
              <w:rPr>
                <w:rFonts w:cs="Times New Roman"/>
                <w:sz w:val="24"/>
                <w:szCs w:val="24"/>
              </w:rPr>
              <w:t>E-mail is one of the official means of communication between McGill University and its students. As with all official University communications, it is the student's responsibility to ensure that time-critical e-mail is assessed, read, and acted upon in a timely fashion. If a student chooses to forward University e-mail to another e-mail mailbox, it is that student's responsibility to ensure that the alternate account is viable. Please note that to protect the privacy of students, the University will only reply to students on their McGill e-mail account.</w:t>
            </w:r>
          </w:p>
          <w:p w:rsidR="0008411C" w:rsidRPr="00503C17" w:rsidRDefault="00E72FC4" w:rsidP="0008411C">
            <w:pPr>
              <w:rPr>
                <w:rFonts w:cs="Times New Roman"/>
                <w:sz w:val="24"/>
                <w:szCs w:val="24"/>
              </w:rPr>
            </w:pPr>
          </w:p>
        </w:tc>
      </w:tr>
      <w:tr w:rsidR="003B07DF" w:rsidRPr="00503C17">
        <w:trPr>
          <w:trHeight w:val="463"/>
        </w:trPr>
        <w:tc>
          <w:tcPr>
            <w:tcW w:w="2802" w:type="dxa"/>
          </w:tcPr>
          <w:p w:rsidR="00194F30" w:rsidRPr="00503C17" w:rsidRDefault="000C5B78" w:rsidP="00194F30">
            <w:pPr>
              <w:rPr>
                <w:rFonts w:cs="Times New Roman"/>
                <w:b/>
                <w:sz w:val="24"/>
                <w:szCs w:val="24"/>
              </w:rPr>
            </w:pPr>
            <w:r w:rsidRPr="00503C17">
              <w:rPr>
                <w:rFonts w:cs="Times New Roman"/>
                <w:b/>
                <w:sz w:val="24"/>
                <w:szCs w:val="24"/>
              </w:rPr>
              <w:t>RESOURCES</w:t>
            </w:r>
          </w:p>
        </w:tc>
        <w:tc>
          <w:tcPr>
            <w:tcW w:w="6774" w:type="dxa"/>
          </w:tcPr>
          <w:p w:rsidR="003B07DF" w:rsidRPr="00503C17" w:rsidRDefault="00E72FC4" w:rsidP="00F077E3">
            <w:pPr>
              <w:rPr>
                <w:rFonts w:cs="Times New Roman"/>
                <w:sz w:val="24"/>
                <w:szCs w:val="24"/>
              </w:rPr>
            </w:pPr>
          </w:p>
        </w:tc>
      </w:tr>
      <w:tr w:rsidR="0008411C" w:rsidRPr="00503C17">
        <w:tc>
          <w:tcPr>
            <w:tcW w:w="9576" w:type="dxa"/>
            <w:gridSpan w:val="2"/>
          </w:tcPr>
          <w:p w:rsidR="0008411C" w:rsidRPr="00503C17" w:rsidRDefault="000C5B78" w:rsidP="00F077E3">
            <w:pPr>
              <w:rPr>
                <w:rFonts w:cs="Times New Roman"/>
                <w:b/>
                <w:i/>
                <w:sz w:val="24"/>
                <w:szCs w:val="24"/>
              </w:rPr>
            </w:pPr>
            <w:r w:rsidRPr="00503C17">
              <w:rPr>
                <w:rFonts w:cs="Times New Roman"/>
                <w:b/>
                <w:i/>
                <w:sz w:val="24"/>
                <w:szCs w:val="24"/>
              </w:rPr>
              <w:t>Student Services</w:t>
            </w:r>
          </w:p>
          <w:p w:rsidR="00744132" w:rsidRDefault="000C5B78" w:rsidP="0008411C">
            <w:pPr>
              <w:rPr>
                <w:rFonts w:cs="Times New Roman"/>
                <w:sz w:val="24"/>
                <w:szCs w:val="24"/>
              </w:rPr>
            </w:pPr>
            <w:r w:rsidRPr="00503C17">
              <w:rPr>
                <w:rFonts w:cs="Times New Roman"/>
                <w:sz w:val="24"/>
                <w:szCs w:val="24"/>
              </w:rPr>
              <w:t>Various services such as Walksafe, McGill Libraries, the Writing Centre, the bookstore, etc., are available to Continuing Education students</w:t>
            </w:r>
            <w:r w:rsidR="00744132">
              <w:rPr>
                <w:rFonts w:cs="Times New Roman"/>
                <w:sz w:val="24"/>
                <w:szCs w:val="24"/>
              </w:rPr>
              <w:t>:</w:t>
            </w:r>
            <w:r w:rsidRPr="00503C17">
              <w:rPr>
                <w:rFonts w:cs="Times New Roman"/>
                <w:sz w:val="24"/>
                <w:szCs w:val="24"/>
              </w:rPr>
              <w:t xml:space="preserve"> </w:t>
            </w:r>
          </w:p>
          <w:p w:rsidR="0008411C" w:rsidRDefault="00E72FC4" w:rsidP="0008411C">
            <w:pPr>
              <w:rPr>
                <w:rFonts w:cs="Times New Roman"/>
                <w:sz w:val="24"/>
                <w:szCs w:val="24"/>
              </w:rPr>
            </w:pPr>
            <w:hyperlink r:id="rId9" w:history="1">
              <w:r w:rsidR="00744132" w:rsidRPr="0082494C">
                <w:rPr>
                  <w:rStyle w:val="Hyperlink"/>
                  <w:rFonts w:cs="Times New Roman"/>
                  <w:sz w:val="24"/>
                  <w:szCs w:val="24"/>
                </w:rPr>
                <w:t>www.mcgill.ca/continuingstudies/current-students/student-services-and-resources</w:t>
              </w:r>
            </w:hyperlink>
          </w:p>
          <w:p w:rsidR="0008411C" w:rsidRPr="005E4912" w:rsidRDefault="00E72FC4" w:rsidP="0008411C">
            <w:pPr>
              <w:rPr>
                <w:rFonts w:cs="Times New Roman"/>
                <w:sz w:val="12"/>
                <w:szCs w:val="24"/>
              </w:rPr>
            </w:pPr>
          </w:p>
        </w:tc>
      </w:tr>
      <w:tr w:rsidR="0008411C" w:rsidRPr="00503C17">
        <w:tc>
          <w:tcPr>
            <w:tcW w:w="9576" w:type="dxa"/>
            <w:gridSpan w:val="2"/>
          </w:tcPr>
          <w:p w:rsidR="0008411C" w:rsidRPr="00503C17" w:rsidRDefault="000C5B78" w:rsidP="00F077E3">
            <w:pPr>
              <w:rPr>
                <w:rFonts w:cs="Times New Roman"/>
                <w:b/>
                <w:i/>
                <w:sz w:val="24"/>
                <w:szCs w:val="24"/>
              </w:rPr>
            </w:pPr>
            <w:r w:rsidRPr="00503C17">
              <w:rPr>
                <w:rFonts w:cs="Times New Roman"/>
                <w:b/>
                <w:i/>
                <w:sz w:val="24"/>
                <w:szCs w:val="24"/>
              </w:rPr>
              <w:t>Students with Disabilities</w:t>
            </w:r>
          </w:p>
          <w:p w:rsidR="0008411C" w:rsidRPr="00503C17" w:rsidRDefault="000C5B78" w:rsidP="0008411C">
            <w:pPr>
              <w:rPr>
                <w:rFonts w:cs="Times New Roman"/>
                <w:sz w:val="24"/>
                <w:szCs w:val="24"/>
              </w:rPr>
            </w:pPr>
            <w:r w:rsidRPr="00503C17">
              <w:rPr>
                <w:rFonts w:cs="Times New Roman"/>
                <w:sz w:val="24"/>
                <w:szCs w:val="24"/>
              </w:rPr>
              <w:t>Students who have a documented disability and require academic accommodations and services should contact the Office of Students with Disabilities (</w:t>
            </w:r>
            <w:hyperlink r:id="rId10" w:history="1">
              <w:r w:rsidRPr="00503C17">
                <w:rPr>
                  <w:rStyle w:val="Hyperlink"/>
                  <w:rFonts w:cs="Times New Roman"/>
                  <w:sz w:val="24"/>
                  <w:szCs w:val="24"/>
                </w:rPr>
                <w:t>http://www.mcgill.ca/osd</w:t>
              </w:r>
            </w:hyperlink>
            <w:r w:rsidRPr="00503C17">
              <w:rPr>
                <w:rFonts w:cs="Times New Roman"/>
                <w:sz w:val="24"/>
                <w:szCs w:val="24"/>
              </w:rPr>
              <w:t xml:space="preserve"> or 514-398-6009) early in the term.  </w:t>
            </w:r>
          </w:p>
          <w:p w:rsidR="0008411C" w:rsidRPr="005E4912" w:rsidRDefault="00E72FC4" w:rsidP="0008411C">
            <w:pPr>
              <w:rPr>
                <w:rFonts w:cs="Times New Roman"/>
                <w:sz w:val="12"/>
                <w:szCs w:val="24"/>
              </w:rPr>
            </w:pPr>
          </w:p>
        </w:tc>
      </w:tr>
      <w:tr w:rsidR="0008411C" w:rsidRPr="00503C17">
        <w:tc>
          <w:tcPr>
            <w:tcW w:w="9576" w:type="dxa"/>
            <w:gridSpan w:val="2"/>
          </w:tcPr>
          <w:p w:rsidR="0008411C" w:rsidRPr="00503C17" w:rsidRDefault="000C5B78" w:rsidP="00F077E3">
            <w:pPr>
              <w:rPr>
                <w:rFonts w:cs="Times New Roman"/>
                <w:b/>
                <w:i/>
                <w:sz w:val="24"/>
                <w:szCs w:val="24"/>
              </w:rPr>
            </w:pPr>
            <w:r w:rsidRPr="00503C17">
              <w:rPr>
                <w:rFonts w:cs="Times New Roman"/>
                <w:b/>
                <w:i/>
                <w:sz w:val="24"/>
                <w:szCs w:val="24"/>
              </w:rPr>
              <w:t>Computer Labs</w:t>
            </w:r>
          </w:p>
          <w:p w:rsidR="0008411C" w:rsidRPr="00503C17" w:rsidRDefault="000C5B78" w:rsidP="0008411C">
            <w:pPr>
              <w:rPr>
                <w:rFonts w:cs="Times New Roman"/>
                <w:sz w:val="24"/>
                <w:szCs w:val="24"/>
              </w:rPr>
            </w:pPr>
            <w:r w:rsidRPr="00503C17">
              <w:rPr>
                <w:rFonts w:cs="Times New Roman"/>
                <w:sz w:val="24"/>
                <w:szCs w:val="24"/>
              </w:rPr>
              <w:t>Free access to computer labs is available at 688 Sherbrooke (12th floor), MACES, the McLennan Library and other locations on campus.</w:t>
            </w:r>
          </w:p>
          <w:p w:rsidR="0008411C" w:rsidRPr="005E4912" w:rsidRDefault="00E72FC4" w:rsidP="0008411C">
            <w:pPr>
              <w:rPr>
                <w:rFonts w:cs="Times New Roman"/>
                <w:sz w:val="12"/>
                <w:szCs w:val="24"/>
              </w:rPr>
            </w:pPr>
          </w:p>
        </w:tc>
      </w:tr>
      <w:tr w:rsidR="00583604" w:rsidRPr="00503C17">
        <w:tc>
          <w:tcPr>
            <w:tcW w:w="9576" w:type="dxa"/>
            <w:gridSpan w:val="2"/>
          </w:tcPr>
          <w:p w:rsidR="00583604" w:rsidRPr="00503C17" w:rsidRDefault="000C5B78" w:rsidP="00F077E3">
            <w:pPr>
              <w:rPr>
                <w:rFonts w:cs="Times New Roman"/>
                <w:b/>
                <w:i/>
                <w:sz w:val="24"/>
                <w:szCs w:val="24"/>
              </w:rPr>
            </w:pPr>
            <w:r w:rsidRPr="00503C17">
              <w:rPr>
                <w:rFonts w:cs="Times New Roman"/>
                <w:b/>
                <w:i/>
                <w:sz w:val="24"/>
                <w:szCs w:val="24"/>
              </w:rPr>
              <w:t>Minerva and Online Resources</w:t>
            </w:r>
          </w:p>
          <w:p w:rsidR="00583604" w:rsidRPr="00503C17" w:rsidRDefault="000C5B78" w:rsidP="00583604">
            <w:pPr>
              <w:rPr>
                <w:rFonts w:cs="Times New Roman"/>
                <w:sz w:val="24"/>
                <w:szCs w:val="24"/>
              </w:rPr>
            </w:pPr>
            <w:r w:rsidRPr="00503C17">
              <w:rPr>
                <w:rFonts w:cs="Times New Roman"/>
                <w:sz w:val="24"/>
                <w:szCs w:val="24"/>
              </w:rPr>
              <w:t>Access your personal student information online with Minerva (</w:t>
            </w:r>
            <w:hyperlink r:id="rId11" w:history="1">
              <w:r w:rsidRPr="00503C17">
                <w:rPr>
                  <w:rStyle w:val="Hyperlink"/>
                  <w:rFonts w:cs="Times New Roman"/>
                  <w:sz w:val="24"/>
                  <w:szCs w:val="24"/>
                </w:rPr>
                <w:t>www.mcgill.ca/minerva-</w:t>
              </w:r>
              <w:r w:rsidRPr="00503C17">
                <w:rPr>
                  <w:rStyle w:val="Hyperlink"/>
                  <w:rFonts w:cs="Times New Roman"/>
                  <w:sz w:val="24"/>
                  <w:szCs w:val="24"/>
                </w:rPr>
                <w:lastRenderedPageBreak/>
                <w:t>students</w:t>
              </w:r>
            </w:hyperlink>
            <w:r w:rsidRPr="00503C17">
              <w:rPr>
                <w:rFonts w:cs="Times New Roman"/>
                <w:sz w:val="24"/>
                <w:szCs w:val="24"/>
              </w:rPr>
              <w:t xml:space="preserve">). Information regarding online resources such as email, VPN, myCourses, etc. can be found at </w:t>
            </w:r>
            <w:r w:rsidR="00744132">
              <w:rPr>
                <w:rFonts w:cs="Times New Roman"/>
                <w:sz w:val="24"/>
                <w:szCs w:val="24"/>
              </w:rPr>
              <w:t>(</w:t>
            </w:r>
            <w:hyperlink r:id="rId12" w:history="1">
              <w:r w:rsidR="00744132" w:rsidRPr="0082494C">
                <w:rPr>
                  <w:rStyle w:val="Hyperlink"/>
                  <w:rFonts w:cs="Times New Roman"/>
                  <w:sz w:val="24"/>
                  <w:szCs w:val="24"/>
                </w:rPr>
                <w:t>www.mcgill.ca/it</w:t>
              </w:r>
            </w:hyperlink>
            <w:r w:rsidR="00744132">
              <w:rPr>
                <w:rFonts w:cs="Times New Roman"/>
                <w:sz w:val="24"/>
                <w:szCs w:val="24"/>
              </w:rPr>
              <w:t xml:space="preserve"> ).</w:t>
            </w:r>
          </w:p>
          <w:p w:rsidR="00583604" w:rsidRPr="005E4912" w:rsidRDefault="00E72FC4" w:rsidP="00583604">
            <w:pPr>
              <w:rPr>
                <w:rFonts w:cs="Times New Roman"/>
                <w:sz w:val="12"/>
                <w:szCs w:val="24"/>
              </w:rPr>
            </w:pPr>
          </w:p>
        </w:tc>
      </w:tr>
      <w:tr w:rsidR="00735005" w:rsidRPr="00503C17">
        <w:tc>
          <w:tcPr>
            <w:tcW w:w="9576" w:type="dxa"/>
            <w:gridSpan w:val="2"/>
          </w:tcPr>
          <w:p w:rsidR="00735005" w:rsidRPr="00503C17" w:rsidRDefault="000C5B78" w:rsidP="00F077E3">
            <w:pPr>
              <w:rPr>
                <w:rFonts w:cs="Times New Roman"/>
                <w:b/>
                <w:i/>
                <w:sz w:val="24"/>
                <w:szCs w:val="24"/>
              </w:rPr>
            </w:pPr>
            <w:r w:rsidRPr="00503C17">
              <w:rPr>
                <w:rFonts w:cs="Times New Roman"/>
                <w:b/>
                <w:i/>
                <w:sz w:val="24"/>
                <w:szCs w:val="24"/>
              </w:rPr>
              <w:lastRenderedPageBreak/>
              <w:t>MACES</w:t>
            </w:r>
          </w:p>
          <w:p w:rsidR="00735005" w:rsidRPr="00503C17" w:rsidRDefault="000C5B78" w:rsidP="008725F2">
            <w:pPr>
              <w:rPr>
                <w:rFonts w:cs="Times New Roman"/>
                <w:sz w:val="24"/>
                <w:szCs w:val="24"/>
              </w:rPr>
            </w:pPr>
            <w:r w:rsidRPr="00503C17">
              <w:rPr>
                <w:rFonts w:cs="Times New Roman"/>
                <w:sz w:val="24"/>
                <w:szCs w:val="24"/>
              </w:rPr>
              <w:t>The McGill Association of Continuing Education Students, MACES (</w:t>
            </w:r>
            <w:hyperlink r:id="rId13" w:history="1">
              <w:r w:rsidR="008725F2" w:rsidRPr="009F1DF1">
                <w:rPr>
                  <w:rStyle w:val="Hyperlink"/>
                  <w:rFonts w:cs="Times New Roman"/>
                  <w:sz w:val="24"/>
                  <w:szCs w:val="24"/>
                </w:rPr>
                <w:t>www.maces.ca</w:t>
              </w:r>
            </w:hyperlink>
            <w:r w:rsidRPr="00503C17">
              <w:rPr>
                <w:rFonts w:cs="Times New Roman"/>
                <w:sz w:val="24"/>
                <w:szCs w:val="24"/>
              </w:rPr>
              <w:t>), is located at 3437 Peel, 2nd floor, tel. (514) 398-4974.</w:t>
            </w:r>
          </w:p>
        </w:tc>
      </w:tr>
    </w:tbl>
    <w:p w:rsidR="00217C51" w:rsidRPr="00770A59" w:rsidRDefault="00217C51" w:rsidP="00217C51">
      <w:pPr>
        <w:spacing w:after="0"/>
        <w:rPr>
          <w:rFonts w:cs="Times New Roman"/>
          <w:b/>
          <w:sz w:val="16"/>
          <w:szCs w:val="16"/>
        </w:rPr>
      </w:pPr>
    </w:p>
    <w:p w:rsidR="00A943C6" w:rsidRPr="00770A59" w:rsidRDefault="000C5B78">
      <w:pPr>
        <w:rPr>
          <w:rFonts w:cs="Times New Roman"/>
          <w:b/>
          <w:sz w:val="24"/>
          <w:szCs w:val="24"/>
        </w:rPr>
      </w:pPr>
      <w:r w:rsidRPr="00770A59">
        <w:rPr>
          <w:rFonts w:cs="Times New Roman"/>
          <w:b/>
          <w:sz w:val="24"/>
          <w:szCs w:val="24"/>
        </w:rPr>
        <w:t>GRADING S</w:t>
      </w:r>
      <w:r w:rsidR="008725F2">
        <w:rPr>
          <w:rFonts w:cs="Times New Roman"/>
          <w:b/>
          <w:sz w:val="24"/>
          <w:szCs w:val="24"/>
        </w:rPr>
        <w:t>CHEME</w:t>
      </w:r>
      <w:r w:rsidR="00A943C6" w:rsidRPr="00770A59">
        <w:rPr>
          <w:rFonts w:cs="Times New Roman"/>
          <w:b/>
          <w:sz w:val="24"/>
          <w:szCs w:val="24"/>
        </w:rPr>
        <w:t xml:space="preserve"> </w:t>
      </w:r>
    </w:p>
    <w:p w:rsidR="00A943C6" w:rsidRPr="00A943C6" w:rsidRDefault="008725F2">
      <w:pPr>
        <w:rPr>
          <w:rFonts w:cs="Times New Roman"/>
          <w:sz w:val="24"/>
          <w:szCs w:val="24"/>
        </w:rPr>
      </w:pPr>
      <w:r>
        <w:rPr>
          <w:rFonts w:cs="Times New Roman"/>
          <w:sz w:val="24"/>
          <w:szCs w:val="24"/>
        </w:rPr>
        <w:t>The following g</w:t>
      </w:r>
      <w:r w:rsidR="00A943C6" w:rsidRPr="00A943C6">
        <w:rPr>
          <w:rFonts w:cs="Times New Roman"/>
          <w:sz w:val="24"/>
          <w:szCs w:val="24"/>
        </w:rPr>
        <w:t>rading s</w:t>
      </w:r>
      <w:r>
        <w:rPr>
          <w:rFonts w:cs="Times New Roman"/>
          <w:sz w:val="24"/>
          <w:szCs w:val="24"/>
        </w:rPr>
        <w:t>cheme applies to</w:t>
      </w:r>
      <w:r w:rsidR="00A943C6" w:rsidRPr="00A943C6">
        <w:rPr>
          <w:rFonts w:cs="Times New Roman"/>
          <w:sz w:val="24"/>
          <w:szCs w:val="24"/>
        </w:rPr>
        <w:t xml:space="preserve"> Non-Credit Transcript Professional Development Certificates</w:t>
      </w:r>
      <w:r w:rsidR="008927B4">
        <w:rPr>
          <w:rFonts w:cs="Times New Roman"/>
          <w:sz w:val="24"/>
          <w:szCs w:val="24"/>
        </w:rPr>
        <w:t>.</w:t>
      </w:r>
      <w:r w:rsidR="00A943C6" w:rsidRPr="00A943C6">
        <w:rPr>
          <w:rFonts w:cs="Times New Roman"/>
          <w:sz w:val="24"/>
          <w:szCs w:val="24"/>
        </w:rPr>
        <w:t xml:space="preserve"> </w:t>
      </w:r>
      <w:r w:rsidR="00A943C6">
        <w:rPr>
          <w:rFonts w:cs="Times New Roman"/>
          <w:sz w:val="24"/>
          <w:szCs w:val="24"/>
        </w:rPr>
        <w:t xml:space="preserve"> </w:t>
      </w:r>
    </w:p>
    <w:tbl>
      <w:tblPr>
        <w:tblStyle w:val="TableGrid"/>
        <w:tblW w:w="59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4"/>
        <w:gridCol w:w="2552"/>
      </w:tblGrid>
      <w:tr w:rsidR="00A943C6" w:rsidRPr="00503C17" w:rsidTr="00A943C6">
        <w:trPr>
          <w:jc w:val="center"/>
        </w:trPr>
        <w:tc>
          <w:tcPr>
            <w:tcW w:w="3402" w:type="dxa"/>
            <w:gridSpan w:val="2"/>
            <w:tcBorders>
              <w:top w:val="single" w:sz="4" w:space="0" w:color="auto"/>
              <w:left w:val="single" w:sz="4" w:space="0" w:color="auto"/>
              <w:bottom w:val="single" w:sz="4" w:space="0" w:color="auto"/>
              <w:right w:val="single" w:sz="4" w:space="0" w:color="auto"/>
            </w:tcBorders>
          </w:tcPr>
          <w:p w:rsidR="00A943C6" w:rsidRPr="00503C17" w:rsidRDefault="00A943C6" w:rsidP="00A943C6">
            <w:pPr>
              <w:jc w:val="center"/>
              <w:rPr>
                <w:rFonts w:cs="Times New Roman"/>
                <w:b/>
                <w:sz w:val="24"/>
                <w:szCs w:val="24"/>
              </w:rPr>
            </w:pPr>
            <w:r>
              <w:rPr>
                <w:rFonts w:cs="Times New Roman"/>
                <w:b/>
                <w:sz w:val="24"/>
                <w:szCs w:val="24"/>
              </w:rPr>
              <w:t>Professional Development Certificates</w:t>
            </w:r>
          </w:p>
        </w:tc>
        <w:tc>
          <w:tcPr>
            <w:tcW w:w="2552" w:type="dxa"/>
            <w:tcBorders>
              <w:top w:val="single" w:sz="4" w:space="0" w:color="auto"/>
              <w:left w:val="single" w:sz="4" w:space="0" w:color="auto"/>
              <w:bottom w:val="single" w:sz="4" w:space="0" w:color="auto"/>
              <w:right w:val="single" w:sz="4" w:space="0" w:color="auto"/>
            </w:tcBorders>
          </w:tcPr>
          <w:p w:rsidR="00A943C6" w:rsidRPr="00503C17" w:rsidRDefault="00A943C6" w:rsidP="00383369">
            <w:pPr>
              <w:jc w:val="center"/>
              <w:rPr>
                <w:rFonts w:cs="Times New Roman"/>
                <w:b/>
                <w:sz w:val="24"/>
                <w:szCs w:val="24"/>
              </w:rPr>
            </w:pPr>
            <w:r w:rsidRPr="00503C17">
              <w:rPr>
                <w:rFonts w:cs="Times New Roman"/>
                <w:b/>
                <w:sz w:val="24"/>
                <w:szCs w:val="24"/>
              </w:rPr>
              <w:t>Grade</w:t>
            </w:r>
          </w:p>
        </w:tc>
      </w:tr>
      <w:tr w:rsidR="00A943C6" w:rsidRPr="00503C17" w:rsidTr="00A943C6">
        <w:trPr>
          <w:jc w:val="center"/>
        </w:trPr>
        <w:tc>
          <w:tcPr>
            <w:tcW w:w="1418" w:type="dxa"/>
            <w:tcBorders>
              <w:top w:val="single" w:sz="4" w:space="0" w:color="auto"/>
              <w:left w:val="single" w:sz="4" w:space="0" w:color="auto"/>
              <w:right w:val="single" w:sz="4" w:space="0" w:color="auto"/>
            </w:tcBorders>
            <w:shd w:val="clear" w:color="auto" w:fill="00B050"/>
          </w:tcPr>
          <w:p w:rsidR="00A943C6" w:rsidRPr="00503C17" w:rsidRDefault="00A943C6" w:rsidP="00383369">
            <w:pPr>
              <w:jc w:val="center"/>
              <w:rPr>
                <w:rFonts w:eastAsia="SimSun"/>
                <w:szCs w:val="24"/>
                <w:lang w:eastAsia="zh-CN"/>
              </w:rPr>
            </w:pPr>
            <w:r w:rsidRPr="00503C17">
              <w:rPr>
                <w:rFonts w:eastAsia="SimSun"/>
                <w:szCs w:val="24"/>
                <w:lang w:eastAsia="zh-CN"/>
              </w:rPr>
              <w:t>Pass</w:t>
            </w:r>
          </w:p>
        </w:tc>
        <w:tc>
          <w:tcPr>
            <w:tcW w:w="1984" w:type="dxa"/>
            <w:tcBorders>
              <w:top w:val="single" w:sz="4" w:space="0" w:color="auto"/>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(85-100%)</w:t>
            </w:r>
          </w:p>
        </w:tc>
        <w:tc>
          <w:tcPr>
            <w:tcW w:w="2552" w:type="dxa"/>
            <w:tcBorders>
              <w:top w:val="single" w:sz="4" w:space="0" w:color="auto"/>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A</w:t>
            </w:r>
          </w:p>
        </w:tc>
      </w:tr>
      <w:tr w:rsidR="00A943C6" w:rsidRPr="00503C17" w:rsidTr="00A943C6">
        <w:trPr>
          <w:jc w:val="center"/>
        </w:trPr>
        <w:tc>
          <w:tcPr>
            <w:tcW w:w="1418" w:type="dxa"/>
            <w:tcBorders>
              <w:left w:val="single" w:sz="4" w:space="0" w:color="auto"/>
              <w:right w:val="single" w:sz="4" w:space="0" w:color="auto"/>
            </w:tcBorders>
            <w:shd w:val="clear" w:color="auto" w:fill="00B050"/>
          </w:tcPr>
          <w:p w:rsidR="00A943C6" w:rsidRPr="00503C17" w:rsidRDefault="00A943C6" w:rsidP="00383369">
            <w:pPr>
              <w:jc w:val="center"/>
              <w:rPr>
                <w:rFonts w:eastAsia="SimSun"/>
                <w:szCs w:val="24"/>
                <w:lang w:eastAsia="zh-CN"/>
              </w:rPr>
            </w:pPr>
          </w:p>
        </w:tc>
        <w:tc>
          <w:tcPr>
            <w:tcW w:w="1984"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(80-84%)</w:t>
            </w:r>
          </w:p>
        </w:tc>
        <w:tc>
          <w:tcPr>
            <w:tcW w:w="2552"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A-</w:t>
            </w:r>
          </w:p>
        </w:tc>
      </w:tr>
      <w:tr w:rsidR="00A943C6" w:rsidRPr="00503C17" w:rsidTr="00A943C6">
        <w:trPr>
          <w:jc w:val="center"/>
        </w:trPr>
        <w:tc>
          <w:tcPr>
            <w:tcW w:w="1418" w:type="dxa"/>
            <w:tcBorders>
              <w:left w:val="single" w:sz="4" w:space="0" w:color="auto"/>
              <w:right w:val="single" w:sz="4" w:space="0" w:color="auto"/>
            </w:tcBorders>
            <w:shd w:val="clear" w:color="auto" w:fill="00B050"/>
          </w:tcPr>
          <w:p w:rsidR="00A943C6" w:rsidRPr="00503C17" w:rsidRDefault="00A943C6" w:rsidP="00383369">
            <w:pPr>
              <w:jc w:val="center"/>
              <w:rPr>
                <w:rFonts w:eastAsia="SimSun"/>
                <w:szCs w:val="24"/>
                <w:lang w:eastAsia="zh-CN"/>
              </w:rPr>
            </w:pPr>
          </w:p>
        </w:tc>
        <w:tc>
          <w:tcPr>
            <w:tcW w:w="1984"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(75-79%)</w:t>
            </w:r>
          </w:p>
        </w:tc>
        <w:tc>
          <w:tcPr>
            <w:tcW w:w="2552"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B+</w:t>
            </w:r>
          </w:p>
        </w:tc>
      </w:tr>
      <w:tr w:rsidR="00A943C6" w:rsidRPr="00503C17" w:rsidTr="00A943C6">
        <w:trPr>
          <w:jc w:val="center"/>
        </w:trPr>
        <w:tc>
          <w:tcPr>
            <w:tcW w:w="1418" w:type="dxa"/>
            <w:tcBorders>
              <w:left w:val="single" w:sz="4" w:space="0" w:color="auto"/>
              <w:right w:val="single" w:sz="4" w:space="0" w:color="auto"/>
            </w:tcBorders>
            <w:shd w:val="clear" w:color="auto" w:fill="00B050"/>
          </w:tcPr>
          <w:p w:rsidR="00A943C6" w:rsidRPr="00503C17" w:rsidRDefault="00A943C6" w:rsidP="00383369">
            <w:pPr>
              <w:jc w:val="center"/>
              <w:rPr>
                <w:rFonts w:eastAsia="SimSun"/>
                <w:szCs w:val="24"/>
                <w:lang w:eastAsia="zh-CN"/>
              </w:rPr>
            </w:pPr>
          </w:p>
        </w:tc>
        <w:tc>
          <w:tcPr>
            <w:tcW w:w="1984"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(70-74%)</w:t>
            </w:r>
          </w:p>
        </w:tc>
        <w:tc>
          <w:tcPr>
            <w:tcW w:w="2552"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B</w:t>
            </w:r>
          </w:p>
        </w:tc>
      </w:tr>
      <w:tr w:rsidR="00A943C6" w:rsidRPr="00503C17" w:rsidTr="00A943C6">
        <w:trPr>
          <w:jc w:val="center"/>
        </w:trPr>
        <w:tc>
          <w:tcPr>
            <w:tcW w:w="1418" w:type="dxa"/>
            <w:tcBorders>
              <w:left w:val="single" w:sz="4" w:space="0" w:color="auto"/>
              <w:right w:val="single" w:sz="4" w:space="0" w:color="auto"/>
            </w:tcBorders>
            <w:shd w:val="clear" w:color="auto" w:fill="00B050"/>
          </w:tcPr>
          <w:p w:rsidR="00A943C6" w:rsidRPr="00503C17" w:rsidRDefault="00A943C6" w:rsidP="00383369">
            <w:pPr>
              <w:jc w:val="center"/>
              <w:rPr>
                <w:rFonts w:eastAsia="SimSun"/>
                <w:szCs w:val="24"/>
                <w:lang w:eastAsia="zh-CN"/>
              </w:rPr>
            </w:pPr>
          </w:p>
        </w:tc>
        <w:tc>
          <w:tcPr>
            <w:tcW w:w="1984"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(65-69%)</w:t>
            </w:r>
          </w:p>
        </w:tc>
        <w:tc>
          <w:tcPr>
            <w:tcW w:w="2552"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B-</w:t>
            </w:r>
          </w:p>
        </w:tc>
      </w:tr>
      <w:tr w:rsidR="00A943C6" w:rsidRPr="00503C17" w:rsidTr="00A943C6">
        <w:trPr>
          <w:jc w:val="center"/>
        </w:trPr>
        <w:tc>
          <w:tcPr>
            <w:tcW w:w="1418" w:type="dxa"/>
            <w:tcBorders>
              <w:left w:val="single" w:sz="4" w:space="0" w:color="auto"/>
              <w:right w:val="single" w:sz="4" w:space="0" w:color="auto"/>
            </w:tcBorders>
            <w:shd w:val="clear" w:color="auto" w:fill="FF0000"/>
          </w:tcPr>
          <w:p w:rsidR="00A943C6" w:rsidRPr="00503C17" w:rsidRDefault="00A943C6" w:rsidP="00383369">
            <w:pPr>
              <w:jc w:val="center"/>
              <w:rPr>
                <w:rFonts w:eastAsia="SimSun"/>
                <w:szCs w:val="24"/>
                <w:lang w:eastAsia="zh-CN"/>
              </w:rPr>
            </w:pPr>
            <w:r w:rsidRPr="00503C17">
              <w:rPr>
                <w:rFonts w:eastAsia="SimSun"/>
                <w:szCs w:val="24"/>
                <w:lang w:eastAsia="zh-CN"/>
              </w:rPr>
              <w:t>Failure</w:t>
            </w:r>
          </w:p>
        </w:tc>
        <w:tc>
          <w:tcPr>
            <w:tcW w:w="1984" w:type="dxa"/>
            <w:tcBorders>
              <w:left w:val="single" w:sz="4" w:space="0" w:color="auto"/>
              <w:right w:val="single" w:sz="4" w:space="0" w:color="auto"/>
            </w:tcBorders>
            <w:shd w:val="clear" w:color="auto" w:fill="auto"/>
          </w:tcPr>
          <w:p w:rsidR="00A943C6" w:rsidRPr="00503C17" w:rsidRDefault="00A943C6" w:rsidP="00383369">
            <w:pPr>
              <w:jc w:val="center"/>
              <w:rPr>
                <w:rFonts w:eastAsia="SimSun"/>
                <w:szCs w:val="24"/>
                <w:lang w:eastAsia="zh-CN"/>
              </w:rPr>
            </w:pPr>
            <w:r w:rsidRPr="00503C17">
              <w:rPr>
                <w:rFonts w:eastAsia="SimSun"/>
                <w:szCs w:val="24"/>
                <w:lang w:eastAsia="zh-CN"/>
              </w:rPr>
              <w:t>(0-64%)</w:t>
            </w:r>
          </w:p>
        </w:tc>
        <w:tc>
          <w:tcPr>
            <w:tcW w:w="2552" w:type="dxa"/>
            <w:tcBorders>
              <w:left w:val="single" w:sz="4" w:space="0" w:color="auto"/>
              <w:right w:val="single" w:sz="4" w:space="0" w:color="auto"/>
            </w:tcBorders>
          </w:tcPr>
          <w:p w:rsidR="00A943C6" w:rsidRPr="00503C17" w:rsidRDefault="00A943C6" w:rsidP="00383369">
            <w:pPr>
              <w:jc w:val="center"/>
              <w:rPr>
                <w:rFonts w:eastAsia="SimSun"/>
                <w:szCs w:val="24"/>
                <w:lang w:eastAsia="zh-CN"/>
              </w:rPr>
            </w:pPr>
            <w:r w:rsidRPr="00503C17">
              <w:rPr>
                <w:rFonts w:eastAsia="SimSun"/>
                <w:szCs w:val="24"/>
                <w:lang w:eastAsia="zh-CN"/>
              </w:rPr>
              <w:t>F</w:t>
            </w:r>
          </w:p>
        </w:tc>
      </w:tr>
      <w:tr w:rsidR="00A943C6" w:rsidRPr="00503C17" w:rsidTr="00A943C6">
        <w:trPr>
          <w:jc w:val="center"/>
        </w:trPr>
        <w:tc>
          <w:tcPr>
            <w:tcW w:w="1418" w:type="dxa"/>
            <w:tcBorders>
              <w:top w:val="single" w:sz="4" w:space="0" w:color="auto"/>
            </w:tcBorders>
            <w:shd w:val="clear" w:color="auto" w:fill="auto"/>
          </w:tcPr>
          <w:p w:rsidR="00A943C6" w:rsidRPr="00503C17" w:rsidRDefault="00A943C6" w:rsidP="00383369">
            <w:pPr>
              <w:jc w:val="center"/>
              <w:rPr>
                <w:rFonts w:eastAsia="SimSun"/>
                <w:szCs w:val="24"/>
                <w:lang w:eastAsia="zh-CN"/>
              </w:rPr>
            </w:pPr>
          </w:p>
        </w:tc>
        <w:tc>
          <w:tcPr>
            <w:tcW w:w="1984" w:type="dxa"/>
            <w:tcBorders>
              <w:top w:val="single" w:sz="4" w:space="0" w:color="auto"/>
            </w:tcBorders>
            <w:shd w:val="clear" w:color="auto" w:fill="auto"/>
          </w:tcPr>
          <w:p w:rsidR="00A943C6" w:rsidRPr="00503C17" w:rsidRDefault="00A943C6" w:rsidP="00383369">
            <w:pPr>
              <w:jc w:val="center"/>
              <w:rPr>
                <w:rFonts w:eastAsia="SimSun"/>
                <w:szCs w:val="24"/>
                <w:lang w:eastAsia="zh-CN"/>
              </w:rPr>
            </w:pPr>
          </w:p>
        </w:tc>
        <w:tc>
          <w:tcPr>
            <w:tcW w:w="2552" w:type="dxa"/>
            <w:tcBorders>
              <w:top w:val="single" w:sz="4" w:space="0" w:color="auto"/>
            </w:tcBorders>
            <w:shd w:val="clear" w:color="auto" w:fill="auto"/>
          </w:tcPr>
          <w:p w:rsidR="00A943C6" w:rsidRPr="00503C17" w:rsidRDefault="00A943C6" w:rsidP="00383369">
            <w:pPr>
              <w:jc w:val="center"/>
              <w:rPr>
                <w:rFonts w:eastAsia="SimSun"/>
                <w:szCs w:val="24"/>
                <w:lang w:eastAsia="zh-CN"/>
              </w:rPr>
            </w:pPr>
          </w:p>
        </w:tc>
      </w:tr>
    </w:tbl>
    <w:p w:rsidR="00573FD9" w:rsidRDefault="008725F2" w:rsidP="008725F2">
      <w:pPr>
        <w:spacing w:after="120" w:line="240" w:lineRule="auto"/>
        <w:jc w:val="center"/>
        <w:rPr>
          <w:rFonts w:cs="Times New Roman"/>
          <w:b/>
          <w:sz w:val="24"/>
          <w:szCs w:val="24"/>
        </w:rPr>
      </w:pPr>
      <w:r w:rsidRPr="008725F2">
        <w:rPr>
          <w:rFonts w:cs="Times New Roman"/>
          <w:b/>
          <w:sz w:val="24"/>
          <w:szCs w:val="24"/>
        </w:rPr>
        <w:t>A minimum attendance of 75% is required in order to pass the course.</w:t>
      </w:r>
      <w:r w:rsidR="000C5B78" w:rsidRPr="00503C17">
        <w:br w:type="page"/>
      </w:r>
      <w:r w:rsidR="000C5B78" w:rsidRPr="00503C17">
        <w:rPr>
          <w:rFonts w:cs="Times New Roman"/>
          <w:b/>
          <w:sz w:val="24"/>
          <w:szCs w:val="24"/>
        </w:rPr>
        <w:lastRenderedPageBreak/>
        <w:t>COURSE CONTENT</w:t>
      </w:r>
    </w:p>
    <w:p w:rsidR="00857239" w:rsidRPr="00503C17" w:rsidRDefault="00857239" w:rsidP="00EB093D">
      <w:pPr>
        <w:spacing w:after="120" w:line="240" w:lineRule="auto"/>
      </w:pPr>
    </w:p>
    <w:tbl>
      <w:tblPr>
        <w:tblStyle w:val="TableGrid"/>
        <w:tblW w:w="9889" w:type="dxa"/>
        <w:tblLook w:val="04A0" w:firstRow="1" w:lastRow="0" w:firstColumn="1" w:lastColumn="0" w:noHBand="0" w:noVBand="1"/>
      </w:tblPr>
      <w:tblGrid>
        <w:gridCol w:w="1809"/>
        <w:gridCol w:w="8080"/>
      </w:tblGrid>
      <w:tr w:rsidR="00EB093D" w:rsidRPr="00A943C6" w:rsidTr="001545CD">
        <w:tc>
          <w:tcPr>
            <w:tcW w:w="1809" w:type="dxa"/>
            <w:tcBorders>
              <w:top w:val="single" w:sz="4" w:space="0" w:color="auto"/>
              <w:bottom w:val="single" w:sz="4" w:space="0" w:color="auto"/>
            </w:tcBorders>
          </w:tcPr>
          <w:p w:rsidR="00EB093D" w:rsidRPr="00A943C6" w:rsidRDefault="000C5B78" w:rsidP="00C53498">
            <w:pPr>
              <w:jc w:val="center"/>
              <w:rPr>
                <w:b/>
              </w:rPr>
            </w:pPr>
            <w:r w:rsidRPr="00A943C6">
              <w:rPr>
                <w:b/>
              </w:rPr>
              <w:t>Class</w:t>
            </w:r>
            <w:r w:rsidR="004D79C4">
              <w:rPr>
                <w:b/>
              </w:rPr>
              <w:t xml:space="preserve"> / Date</w:t>
            </w:r>
          </w:p>
        </w:tc>
        <w:tc>
          <w:tcPr>
            <w:tcW w:w="8080" w:type="dxa"/>
            <w:tcBorders>
              <w:top w:val="single" w:sz="4" w:space="0" w:color="auto"/>
            </w:tcBorders>
          </w:tcPr>
          <w:p w:rsidR="00EB093D" w:rsidRPr="00A943C6" w:rsidRDefault="000C5B78" w:rsidP="005723C4">
            <w:pPr>
              <w:rPr>
                <w:b/>
              </w:rPr>
            </w:pPr>
            <w:r w:rsidRPr="00A943C6">
              <w:rPr>
                <w:b/>
              </w:rPr>
              <w:t>Topics</w:t>
            </w:r>
            <w:r w:rsidR="004D79C4">
              <w:rPr>
                <w:b/>
              </w:rPr>
              <w:t xml:space="preserve"> / Assignments / Readings</w:t>
            </w:r>
          </w:p>
        </w:tc>
      </w:tr>
      <w:tr w:rsidR="004D79C4" w:rsidRPr="00503C17" w:rsidTr="001545CD">
        <w:trPr>
          <w:trHeight w:val="1119"/>
        </w:trPr>
        <w:tc>
          <w:tcPr>
            <w:tcW w:w="1809" w:type="dxa"/>
            <w:tcBorders>
              <w:bottom w:val="nil"/>
            </w:tcBorders>
          </w:tcPr>
          <w:p w:rsidR="004D79C4" w:rsidRDefault="004D79C4" w:rsidP="00B84491">
            <w:pPr>
              <w:spacing w:before="40"/>
              <w:jc w:val="center"/>
              <w:rPr>
                <w:b/>
              </w:rPr>
            </w:pPr>
            <w:r>
              <w:rPr>
                <w:b/>
              </w:rPr>
              <w:t>1</w:t>
            </w:r>
          </w:p>
          <w:p w:rsidR="004D79C4" w:rsidRDefault="004D79C4" w:rsidP="00B84491">
            <w:pPr>
              <w:spacing w:before="40"/>
              <w:jc w:val="center"/>
              <w:rPr>
                <w:b/>
              </w:rPr>
            </w:pPr>
            <w:r>
              <w:rPr>
                <w:b/>
              </w:rPr>
              <w:t>Saturday</w:t>
            </w:r>
          </w:p>
          <w:p w:rsidR="004D79C4" w:rsidRDefault="004D79C4" w:rsidP="00B84491">
            <w:pPr>
              <w:spacing w:before="40"/>
              <w:jc w:val="center"/>
              <w:rPr>
                <w:b/>
              </w:rPr>
            </w:pPr>
            <w:r>
              <w:rPr>
                <w:b/>
              </w:rPr>
              <w:t>Oct. 4</w:t>
            </w:r>
          </w:p>
          <w:p w:rsidR="004D79C4" w:rsidRDefault="004D79C4" w:rsidP="00EB093D">
            <w:pPr>
              <w:jc w:val="center"/>
              <w:rPr>
                <w:b/>
              </w:rPr>
            </w:pPr>
            <w:r>
              <w:rPr>
                <w:b/>
              </w:rPr>
              <w:t>9am-4pm</w:t>
            </w:r>
          </w:p>
          <w:p w:rsidR="004D79C4" w:rsidRPr="008E29C2" w:rsidRDefault="004D79C4" w:rsidP="00EB093D">
            <w:pPr>
              <w:jc w:val="center"/>
              <w:rPr>
                <w:b/>
              </w:rPr>
            </w:pPr>
          </w:p>
        </w:tc>
        <w:tc>
          <w:tcPr>
            <w:tcW w:w="8080" w:type="dxa"/>
          </w:tcPr>
          <w:p w:rsidR="004D79C4" w:rsidRPr="004D79C4" w:rsidRDefault="004D79C4" w:rsidP="004D79C4">
            <w:pPr>
              <w:rPr>
                <w:sz w:val="20"/>
              </w:rPr>
            </w:pPr>
            <w:r>
              <w:t xml:space="preserve"> </w:t>
            </w:r>
          </w:p>
        </w:tc>
      </w:tr>
      <w:tr w:rsidR="00EB093D" w:rsidRPr="00503C17">
        <w:trPr>
          <w:trHeight w:val="1122"/>
        </w:trPr>
        <w:tc>
          <w:tcPr>
            <w:tcW w:w="1809" w:type="dxa"/>
          </w:tcPr>
          <w:p w:rsidR="001545CD" w:rsidRPr="005E660D" w:rsidRDefault="000C5B78" w:rsidP="006828EB">
            <w:pPr>
              <w:spacing w:before="40"/>
              <w:jc w:val="center"/>
              <w:rPr>
                <w:b/>
              </w:rPr>
            </w:pPr>
            <w:r w:rsidRPr="005E660D">
              <w:rPr>
                <w:b/>
              </w:rPr>
              <w:t>2</w:t>
            </w:r>
          </w:p>
          <w:p w:rsidR="004D79C4" w:rsidRDefault="000C5B78" w:rsidP="006828EB">
            <w:pPr>
              <w:spacing w:before="40"/>
              <w:jc w:val="center"/>
              <w:rPr>
                <w:b/>
              </w:rPr>
            </w:pPr>
            <w:r w:rsidRPr="005E660D">
              <w:rPr>
                <w:b/>
              </w:rPr>
              <w:t>Tuesday</w:t>
            </w:r>
          </w:p>
          <w:p w:rsidR="006C25F8" w:rsidRPr="005E660D" w:rsidRDefault="000C5B78" w:rsidP="006828EB">
            <w:pPr>
              <w:spacing w:before="40"/>
              <w:jc w:val="center"/>
              <w:rPr>
                <w:b/>
              </w:rPr>
            </w:pPr>
            <w:r w:rsidRPr="005E660D">
              <w:rPr>
                <w:b/>
              </w:rPr>
              <w:t>Oct. 14</w:t>
            </w:r>
          </w:p>
          <w:p w:rsidR="00EB093D" w:rsidRDefault="000C5B78" w:rsidP="001545CD">
            <w:pPr>
              <w:spacing w:before="40"/>
              <w:jc w:val="center"/>
              <w:rPr>
                <w:b/>
              </w:rPr>
            </w:pPr>
            <w:r w:rsidRPr="005E660D">
              <w:rPr>
                <w:b/>
              </w:rPr>
              <w:t>6-9pm</w:t>
            </w:r>
          </w:p>
          <w:p w:rsidR="004D79C4" w:rsidRPr="005E660D" w:rsidRDefault="004D79C4" w:rsidP="001545CD">
            <w:pPr>
              <w:spacing w:before="40"/>
              <w:jc w:val="center"/>
              <w:rPr>
                <w:b/>
              </w:rPr>
            </w:pPr>
          </w:p>
        </w:tc>
        <w:tc>
          <w:tcPr>
            <w:tcW w:w="8080" w:type="dxa"/>
          </w:tcPr>
          <w:p w:rsidR="00532F18" w:rsidRPr="00532F18" w:rsidRDefault="00532F18" w:rsidP="00AD5798"/>
        </w:tc>
      </w:tr>
      <w:tr w:rsidR="00EB093D" w:rsidRPr="00503C17">
        <w:trPr>
          <w:trHeight w:val="274"/>
        </w:trPr>
        <w:tc>
          <w:tcPr>
            <w:tcW w:w="1809" w:type="dxa"/>
          </w:tcPr>
          <w:p w:rsidR="001545CD" w:rsidRDefault="000C5B78" w:rsidP="00B84491">
            <w:pPr>
              <w:spacing w:before="40"/>
              <w:jc w:val="center"/>
              <w:rPr>
                <w:b/>
              </w:rPr>
            </w:pPr>
            <w:r>
              <w:rPr>
                <w:b/>
              </w:rPr>
              <w:t>3</w:t>
            </w:r>
          </w:p>
          <w:p w:rsidR="004D79C4" w:rsidRDefault="000C5B78" w:rsidP="00B84491">
            <w:pPr>
              <w:spacing w:before="40"/>
              <w:jc w:val="center"/>
              <w:rPr>
                <w:b/>
              </w:rPr>
            </w:pPr>
            <w:r>
              <w:rPr>
                <w:b/>
              </w:rPr>
              <w:t>Tuesday</w:t>
            </w:r>
          </w:p>
          <w:p w:rsidR="00B84491" w:rsidRDefault="000C5B78" w:rsidP="00B84491">
            <w:pPr>
              <w:spacing w:before="40"/>
              <w:jc w:val="center"/>
              <w:rPr>
                <w:b/>
              </w:rPr>
            </w:pPr>
            <w:r>
              <w:rPr>
                <w:b/>
              </w:rPr>
              <w:t>Oct. 21</w:t>
            </w:r>
          </w:p>
          <w:p w:rsidR="00B84491" w:rsidRDefault="000C5B78" w:rsidP="00B84491">
            <w:pPr>
              <w:spacing w:before="40"/>
              <w:jc w:val="center"/>
              <w:rPr>
                <w:b/>
              </w:rPr>
            </w:pPr>
            <w:r>
              <w:rPr>
                <w:b/>
              </w:rPr>
              <w:t>6-9pm</w:t>
            </w:r>
          </w:p>
          <w:p w:rsidR="00EB093D" w:rsidRPr="005723C4" w:rsidRDefault="00E72FC4" w:rsidP="00EB093D">
            <w:pPr>
              <w:jc w:val="center"/>
              <w:rPr>
                <w:b/>
                <w:sz w:val="18"/>
              </w:rPr>
            </w:pPr>
          </w:p>
        </w:tc>
        <w:tc>
          <w:tcPr>
            <w:tcW w:w="8080" w:type="dxa"/>
          </w:tcPr>
          <w:p w:rsidR="00EB093D" w:rsidRPr="00012783" w:rsidRDefault="00E72FC4" w:rsidP="004D79C4">
            <w:pPr>
              <w:pStyle w:val="ListParagraph"/>
              <w:spacing w:before="40"/>
              <w:ind w:left="227"/>
            </w:pPr>
          </w:p>
        </w:tc>
      </w:tr>
      <w:tr w:rsidR="00EB093D" w:rsidRPr="00503C17">
        <w:trPr>
          <w:trHeight w:val="585"/>
        </w:trPr>
        <w:tc>
          <w:tcPr>
            <w:tcW w:w="1809" w:type="dxa"/>
          </w:tcPr>
          <w:p w:rsidR="001545CD" w:rsidRDefault="000C5B78" w:rsidP="00B84491">
            <w:pPr>
              <w:spacing w:before="40"/>
              <w:jc w:val="center"/>
              <w:rPr>
                <w:b/>
              </w:rPr>
            </w:pPr>
            <w:r>
              <w:rPr>
                <w:b/>
              </w:rPr>
              <w:t>4</w:t>
            </w:r>
          </w:p>
          <w:p w:rsidR="004D79C4" w:rsidRDefault="000C5B78" w:rsidP="00B84491">
            <w:pPr>
              <w:spacing w:before="40"/>
              <w:jc w:val="center"/>
              <w:rPr>
                <w:b/>
              </w:rPr>
            </w:pPr>
            <w:r>
              <w:rPr>
                <w:b/>
              </w:rPr>
              <w:t>Tuesday</w:t>
            </w:r>
          </w:p>
          <w:p w:rsidR="00B84491" w:rsidRDefault="000C5B78" w:rsidP="00B84491">
            <w:pPr>
              <w:spacing w:before="40"/>
              <w:jc w:val="center"/>
              <w:rPr>
                <w:b/>
              </w:rPr>
            </w:pPr>
            <w:r>
              <w:rPr>
                <w:b/>
              </w:rPr>
              <w:t>Oct. 28</w:t>
            </w:r>
          </w:p>
          <w:p w:rsidR="00B84491" w:rsidRDefault="000C5B78" w:rsidP="00B84491">
            <w:pPr>
              <w:spacing w:before="40"/>
              <w:jc w:val="center"/>
              <w:rPr>
                <w:b/>
              </w:rPr>
            </w:pPr>
            <w:r>
              <w:rPr>
                <w:b/>
              </w:rPr>
              <w:t>6-9pm</w:t>
            </w:r>
          </w:p>
          <w:p w:rsidR="00EB093D" w:rsidRPr="008E29C2" w:rsidRDefault="00E72FC4" w:rsidP="006C25F8">
            <w:pPr>
              <w:jc w:val="center"/>
              <w:rPr>
                <w:b/>
              </w:rPr>
            </w:pPr>
          </w:p>
        </w:tc>
        <w:tc>
          <w:tcPr>
            <w:tcW w:w="8080" w:type="dxa"/>
          </w:tcPr>
          <w:p w:rsidR="00EB093D" w:rsidRPr="004D79C4" w:rsidRDefault="00E72FC4" w:rsidP="004D79C4">
            <w:pPr>
              <w:rPr>
                <w:sz w:val="20"/>
              </w:rPr>
            </w:pPr>
          </w:p>
        </w:tc>
      </w:tr>
      <w:tr w:rsidR="00B84491" w:rsidRPr="00503C17">
        <w:trPr>
          <w:trHeight w:val="585"/>
        </w:trPr>
        <w:tc>
          <w:tcPr>
            <w:tcW w:w="1809" w:type="dxa"/>
          </w:tcPr>
          <w:p w:rsidR="001545CD" w:rsidRDefault="000C5B78" w:rsidP="00B84491">
            <w:pPr>
              <w:spacing w:before="40"/>
              <w:jc w:val="center"/>
              <w:rPr>
                <w:b/>
              </w:rPr>
            </w:pPr>
            <w:r>
              <w:rPr>
                <w:b/>
              </w:rPr>
              <w:t>5</w:t>
            </w:r>
          </w:p>
          <w:p w:rsidR="004D79C4" w:rsidRDefault="000C5B78" w:rsidP="00B84491">
            <w:pPr>
              <w:spacing w:before="40"/>
              <w:jc w:val="center"/>
              <w:rPr>
                <w:b/>
              </w:rPr>
            </w:pPr>
            <w:r>
              <w:rPr>
                <w:b/>
              </w:rPr>
              <w:t>Saturday</w:t>
            </w:r>
          </w:p>
          <w:p w:rsidR="00B84491" w:rsidRDefault="000C5B78" w:rsidP="00B84491">
            <w:pPr>
              <w:spacing w:before="40"/>
              <w:jc w:val="center"/>
              <w:rPr>
                <w:b/>
              </w:rPr>
            </w:pPr>
            <w:r>
              <w:rPr>
                <w:b/>
              </w:rPr>
              <w:t>Nov. 1</w:t>
            </w:r>
          </w:p>
          <w:p w:rsidR="00B84491" w:rsidRDefault="000C5B78" w:rsidP="00B84491">
            <w:pPr>
              <w:spacing w:before="40"/>
              <w:jc w:val="center"/>
              <w:rPr>
                <w:b/>
              </w:rPr>
            </w:pPr>
            <w:r>
              <w:rPr>
                <w:b/>
              </w:rPr>
              <w:t>9am-4pm</w:t>
            </w:r>
          </w:p>
          <w:p w:rsidR="004D79C4" w:rsidRDefault="004D79C4" w:rsidP="00B84491">
            <w:pPr>
              <w:spacing w:before="40"/>
              <w:jc w:val="center"/>
              <w:rPr>
                <w:b/>
              </w:rPr>
            </w:pPr>
          </w:p>
        </w:tc>
        <w:tc>
          <w:tcPr>
            <w:tcW w:w="8080" w:type="dxa"/>
          </w:tcPr>
          <w:p w:rsidR="00B84491" w:rsidRPr="001545CD" w:rsidRDefault="00E72FC4" w:rsidP="004D79C4">
            <w:pPr>
              <w:pStyle w:val="ListParagraph"/>
              <w:spacing w:before="40"/>
              <w:ind w:left="227"/>
              <w:rPr>
                <w:b/>
                <w:caps/>
              </w:rPr>
            </w:pPr>
          </w:p>
        </w:tc>
      </w:tr>
      <w:tr w:rsidR="00B84491" w:rsidRPr="00503C17">
        <w:trPr>
          <w:trHeight w:val="585"/>
        </w:trPr>
        <w:tc>
          <w:tcPr>
            <w:tcW w:w="1809" w:type="dxa"/>
          </w:tcPr>
          <w:p w:rsidR="001545CD" w:rsidRDefault="000C5B78" w:rsidP="00B84491">
            <w:pPr>
              <w:spacing w:before="40"/>
              <w:jc w:val="center"/>
              <w:rPr>
                <w:b/>
              </w:rPr>
            </w:pPr>
            <w:r>
              <w:rPr>
                <w:b/>
              </w:rPr>
              <w:t>6</w:t>
            </w:r>
          </w:p>
          <w:p w:rsidR="004D79C4" w:rsidRDefault="000C5B78" w:rsidP="00B84491">
            <w:pPr>
              <w:spacing w:before="40"/>
              <w:jc w:val="center"/>
              <w:rPr>
                <w:b/>
              </w:rPr>
            </w:pPr>
            <w:r>
              <w:rPr>
                <w:b/>
              </w:rPr>
              <w:t>Tuesday</w:t>
            </w:r>
          </w:p>
          <w:p w:rsidR="00B84491" w:rsidRDefault="000C5B78" w:rsidP="00B84491">
            <w:pPr>
              <w:spacing w:before="40"/>
              <w:jc w:val="center"/>
              <w:rPr>
                <w:b/>
              </w:rPr>
            </w:pPr>
            <w:r>
              <w:rPr>
                <w:b/>
              </w:rPr>
              <w:t>Nov. 4</w:t>
            </w:r>
          </w:p>
          <w:p w:rsidR="00B84491" w:rsidRDefault="000C5B78" w:rsidP="00B84491">
            <w:pPr>
              <w:spacing w:before="40"/>
              <w:jc w:val="center"/>
              <w:rPr>
                <w:b/>
              </w:rPr>
            </w:pPr>
            <w:r>
              <w:rPr>
                <w:b/>
              </w:rPr>
              <w:t>6-9pm</w:t>
            </w:r>
          </w:p>
          <w:p w:rsidR="00B84491" w:rsidRDefault="00E72FC4" w:rsidP="00B84491">
            <w:pPr>
              <w:spacing w:before="40"/>
              <w:jc w:val="center"/>
              <w:rPr>
                <w:b/>
              </w:rPr>
            </w:pPr>
          </w:p>
        </w:tc>
        <w:tc>
          <w:tcPr>
            <w:tcW w:w="8080" w:type="dxa"/>
          </w:tcPr>
          <w:p w:rsidR="00B84491" w:rsidRPr="001545CD" w:rsidRDefault="00E72FC4" w:rsidP="004D79C4">
            <w:pPr>
              <w:pStyle w:val="ListParagraph"/>
              <w:spacing w:before="40"/>
              <w:ind w:left="227"/>
              <w:rPr>
                <w:b/>
                <w:caps/>
              </w:rPr>
            </w:pPr>
          </w:p>
        </w:tc>
      </w:tr>
      <w:tr w:rsidR="00B84491" w:rsidRPr="00503C17">
        <w:trPr>
          <w:trHeight w:val="585"/>
        </w:trPr>
        <w:tc>
          <w:tcPr>
            <w:tcW w:w="1809" w:type="dxa"/>
          </w:tcPr>
          <w:p w:rsidR="001545CD" w:rsidRDefault="000C5B78" w:rsidP="00B84491">
            <w:pPr>
              <w:spacing w:before="40"/>
              <w:jc w:val="center"/>
              <w:rPr>
                <w:b/>
              </w:rPr>
            </w:pPr>
            <w:r>
              <w:rPr>
                <w:b/>
              </w:rPr>
              <w:t>7</w:t>
            </w:r>
          </w:p>
          <w:p w:rsidR="004D79C4" w:rsidRDefault="000C5B78" w:rsidP="00B84491">
            <w:pPr>
              <w:spacing w:before="40"/>
              <w:jc w:val="center"/>
              <w:rPr>
                <w:b/>
              </w:rPr>
            </w:pPr>
            <w:r>
              <w:rPr>
                <w:b/>
              </w:rPr>
              <w:t>Tuesday</w:t>
            </w:r>
          </w:p>
          <w:p w:rsidR="00B84491" w:rsidRDefault="000C5B78" w:rsidP="00B84491">
            <w:pPr>
              <w:spacing w:before="40"/>
              <w:jc w:val="center"/>
              <w:rPr>
                <w:b/>
              </w:rPr>
            </w:pPr>
            <w:r>
              <w:rPr>
                <w:b/>
              </w:rPr>
              <w:t>Nov. 11</w:t>
            </w:r>
          </w:p>
          <w:p w:rsidR="00B84491" w:rsidRDefault="000C5B78" w:rsidP="00B84491">
            <w:pPr>
              <w:spacing w:before="40"/>
              <w:jc w:val="center"/>
              <w:rPr>
                <w:b/>
              </w:rPr>
            </w:pPr>
            <w:r>
              <w:rPr>
                <w:b/>
              </w:rPr>
              <w:t>6-9pm</w:t>
            </w:r>
          </w:p>
          <w:p w:rsidR="00B84491" w:rsidRDefault="00E72FC4" w:rsidP="00B84491">
            <w:pPr>
              <w:spacing w:before="40"/>
              <w:jc w:val="center"/>
              <w:rPr>
                <w:b/>
              </w:rPr>
            </w:pPr>
          </w:p>
        </w:tc>
        <w:tc>
          <w:tcPr>
            <w:tcW w:w="8080" w:type="dxa"/>
          </w:tcPr>
          <w:p w:rsidR="00B84491" w:rsidRPr="001545CD" w:rsidRDefault="00E72FC4" w:rsidP="004D79C4">
            <w:pPr>
              <w:pStyle w:val="ListParagraph"/>
              <w:spacing w:before="40"/>
              <w:ind w:left="227"/>
            </w:pPr>
          </w:p>
        </w:tc>
      </w:tr>
    </w:tbl>
    <w:p w:rsidR="001E11E0" w:rsidRPr="00EB093D" w:rsidRDefault="00E72FC4" w:rsidP="00DD4C59">
      <w:pPr>
        <w:spacing w:before="120" w:after="0" w:line="240" w:lineRule="auto"/>
        <w:rPr>
          <w:b/>
        </w:rPr>
      </w:pPr>
    </w:p>
    <w:sectPr w:rsidR="001E11E0" w:rsidRPr="00EB093D" w:rsidSect="00B05B8C">
      <w:footerReference w:type="default" r:id="rId14"/>
      <w:headerReference w:type="first" r:id="rId15"/>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E4" w:rsidRDefault="00574AE4" w:rsidP="00EE2647">
      <w:pPr>
        <w:spacing w:after="0" w:line="240" w:lineRule="auto"/>
      </w:pPr>
      <w:r>
        <w:separator/>
      </w:r>
    </w:p>
  </w:endnote>
  <w:endnote w:type="continuationSeparator" w:id="0">
    <w:p w:rsidR="00574AE4" w:rsidRDefault="00574AE4" w:rsidP="00E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973142"/>
      <w:docPartObj>
        <w:docPartGallery w:val="Page Numbers (Bottom of Page)"/>
        <w:docPartUnique/>
      </w:docPartObj>
    </w:sdtPr>
    <w:sdtEndPr>
      <w:rPr>
        <w:noProof/>
      </w:rPr>
    </w:sdtEndPr>
    <w:sdtContent>
      <w:p w:rsidR="005458F8" w:rsidRDefault="005458F8">
        <w:pPr>
          <w:pStyle w:val="Footer"/>
          <w:jc w:val="right"/>
        </w:pPr>
        <w:r>
          <w:fldChar w:fldCharType="begin"/>
        </w:r>
        <w:r>
          <w:instrText xml:space="preserve"> PAGE   \* MERGEFORMAT </w:instrText>
        </w:r>
        <w:r>
          <w:fldChar w:fldCharType="separate"/>
        </w:r>
        <w:r w:rsidR="00E72FC4">
          <w:rPr>
            <w:noProof/>
          </w:rPr>
          <w:t>2</w:t>
        </w:r>
        <w:r>
          <w:rPr>
            <w:noProof/>
          </w:rPr>
          <w:fldChar w:fldCharType="end"/>
        </w:r>
      </w:p>
    </w:sdtContent>
  </w:sdt>
  <w:p w:rsidR="005458F8" w:rsidRDefault="0054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E4" w:rsidRDefault="00574AE4" w:rsidP="00EE2647">
      <w:pPr>
        <w:spacing w:after="0" w:line="240" w:lineRule="auto"/>
      </w:pPr>
      <w:r>
        <w:separator/>
      </w:r>
    </w:p>
  </w:footnote>
  <w:footnote w:type="continuationSeparator" w:id="0">
    <w:p w:rsidR="00574AE4" w:rsidRDefault="00574AE4" w:rsidP="00EE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91" w:rsidRDefault="00C63106">
    <w:pPr>
      <w:pStyle w:val="Header"/>
    </w:pPr>
    <w:r>
      <w:rPr>
        <w:noProof/>
        <w:lang w:eastAsia="en-CA"/>
      </w:rPr>
      <w:drawing>
        <wp:inline distT="0" distB="0" distL="0" distR="0" wp14:anchorId="179C4233" wp14:editId="60A45CCB">
          <wp:extent cx="5943600" cy="543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 sig_red_cmyk_CONT STUD_horiz_bil_out.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C6C"/>
    <w:multiLevelType w:val="hybridMultilevel"/>
    <w:tmpl w:val="E57C78C8"/>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743C"/>
    <w:multiLevelType w:val="hybridMultilevel"/>
    <w:tmpl w:val="F404F142"/>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280F"/>
    <w:multiLevelType w:val="hybridMultilevel"/>
    <w:tmpl w:val="393C06F2"/>
    <w:lvl w:ilvl="0" w:tplc="04090001">
      <w:start w:val="1"/>
      <w:numFmt w:val="bullet"/>
      <w:lvlText w:val=""/>
      <w:lvlJc w:val="left"/>
      <w:pPr>
        <w:ind w:left="360" w:hanging="360"/>
      </w:pPr>
      <w:rPr>
        <w:rFonts w:ascii="Symbol" w:hAnsi="Symbol" w:hint="default"/>
      </w:rPr>
    </w:lvl>
    <w:lvl w:ilvl="1" w:tplc="B3347F86">
      <w:start w:val="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F07F2C"/>
    <w:multiLevelType w:val="hybridMultilevel"/>
    <w:tmpl w:val="33EAEB3E"/>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8074B"/>
    <w:multiLevelType w:val="hybridMultilevel"/>
    <w:tmpl w:val="09021446"/>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23AFC"/>
    <w:multiLevelType w:val="hybridMultilevel"/>
    <w:tmpl w:val="0B565774"/>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A4749"/>
    <w:multiLevelType w:val="hybridMultilevel"/>
    <w:tmpl w:val="237A580C"/>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716C0"/>
    <w:multiLevelType w:val="hybridMultilevel"/>
    <w:tmpl w:val="14FC8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5E23D9"/>
    <w:multiLevelType w:val="hybridMultilevel"/>
    <w:tmpl w:val="0952F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260562"/>
    <w:multiLevelType w:val="hybridMultilevel"/>
    <w:tmpl w:val="6250F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E629AC"/>
    <w:multiLevelType w:val="hybridMultilevel"/>
    <w:tmpl w:val="DE24CF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059E3"/>
    <w:multiLevelType w:val="hybridMultilevel"/>
    <w:tmpl w:val="22D21746"/>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C600D"/>
    <w:multiLevelType w:val="hybridMultilevel"/>
    <w:tmpl w:val="189A2A54"/>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F78C0"/>
    <w:multiLevelType w:val="hybridMultilevel"/>
    <w:tmpl w:val="2EAA9A38"/>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76347"/>
    <w:multiLevelType w:val="hybridMultilevel"/>
    <w:tmpl w:val="D84C9B3E"/>
    <w:lvl w:ilvl="0" w:tplc="17A67F7A">
      <w:start w:val="1"/>
      <w:numFmt w:val="bullet"/>
      <w:lvlText w:val="o"/>
      <w:lvlJc w:val="left"/>
      <w:pPr>
        <w:ind w:left="36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7FBE"/>
    <w:multiLevelType w:val="hybridMultilevel"/>
    <w:tmpl w:val="C13EF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0"/>
  </w:num>
  <w:num w:numId="5">
    <w:abstractNumId w:val="5"/>
  </w:num>
  <w:num w:numId="6">
    <w:abstractNumId w:val="13"/>
  </w:num>
  <w:num w:numId="7">
    <w:abstractNumId w:val="12"/>
  </w:num>
  <w:num w:numId="8">
    <w:abstractNumId w:val="11"/>
  </w:num>
  <w:num w:numId="9">
    <w:abstractNumId w:val="3"/>
  </w:num>
  <w:num w:numId="10">
    <w:abstractNumId w:val="6"/>
  </w:num>
  <w:num w:numId="11">
    <w:abstractNumId w:val="9"/>
  </w:num>
  <w:num w:numId="12">
    <w:abstractNumId w:val="15"/>
  </w:num>
  <w:num w:numId="13">
    <w:abstractNumId w:val="8"/>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47"/>
    <w:rsid w:val="00015492"/>
    <w:rsid w:val="00076C2B"/>
    <w:rsid w:val="000C5B78"/>
    <w:rsid w:val="000F49C0"/>
    <w:rsid w:val="00100453"/>
    <w:rsid w:val="00120E36"/>
    <w:rsid w:val="00167822"/>
    <w:rsid w:val="001B2E02"/>
    <w:rsid w:val="001F25CD"/>
    <w:rsid w:val="00217C51"/>
    <w:rsid w:val="00326BD6"/>
    <w:rsid w:val="0044427A"/>
    <w:rsid w:val="004530C7"/>
    <w:rsid w:val="004D79C4"/>
    <w:rsid w:val="00532F18"/>
    <w:rsid w:val="005458F8"/>
    <w:rsid w:val="00574AE4"/>
    <w:rsid w:val="005E660D"/>
    <w:rsid w:val="00614A8E"/>
    <w:rsid w:val="00741F2A"/>
    <w:rsid w:val="00744132"/>
    <w:rsid w:val="007558BF"/>
    <w:rsid w:val="00770A59"/>
    <w:rsid w:val="007D3E4C"/>
    <w:rsid w:val="00857239"/>
    <w:rsid w:val="00870E4D"/>
    <w:rsid w:val="008725F2"/>
    <w:rsid w:val="008927B4"/>
    <w:rsid w:val="00925BC0"/>
    <w:rsid w:val="009C367E"/>
    <w:rsid w:val="009E0606"/>
    <w:rsid w:val="00A678F8"/>
    <w:rsid w:val="00A943C6"/>
    <w:rsid w:val="00AD5798"/>
    <w:rsid w:val="00B05B8C"/>
    <w:rsid w:val="00BA4F3E"/>
    <w:rsid w:val="00BD7E73"/>
    <w:rsid w:val="00C63106"/>
    <w:rsid w:val="00D32C38"/>
    <w:rsid w:val="00D422B5"/>
    <w:rsid w:val="00E72FC4"/>
    <w:rsid w:val="00EE2647"/>
    <w:rsid w:val="00EF55D4"/>
    <w:rsid w:val="00F066EA"/>
    <w:rsid w:val="00F31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63B2F"/>
  <w15:docId w15:val="{FBA31775-60EB-4CF7-8FD2-F1CBABA8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E2647"/>
    <w:pPr>
      <w:keepNext/>
      <w:pBdr>
        <w:bottom w:val="single" w:sz="6" w:space="1" w:color="auto"/>
      </w:pBdr>
      <w:spacing w:after="0" w:line="240" w:lineRule="auto"/>
      <w:jc w:val="right"/>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47"/>
  </w:style>
  <w:style w:type="paragraph" w:styleId="Footer">
    <w:name w:val="footer"/>
    <w:basedOn w:val="Normal"/>
    <w:link w:val="FooterChar"/>
    <w:uiPriority w:val="99"/>
    <w:unhideWhenUsed/>
    <w:rsid w:val="00EE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47"/>
  </w:style>
  <w:style w:type="paragraph" w:styleId="BalloonText">
    <w:name w:val="Balloon Text"/>
    <w:basedOn w:val="Normal"/>
    <w:link w:val="BalloonTextChar"/>
    <w:uiPriority w:val="99"/>
    <w:semiHidden/>
    <w:unhideWhenUsed/>
    <w:rsid w:val="00EE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47"/>
    <w:rPr>
      <w:rFonts w:ascii="Tahoma" w:hAnsi="Tahoma" w:cs="Tahoma"/>
      <w:sz w:val="16"/>
      <w:szCs w:val="16"/>
    </w:rPr>
  </w:style>
  <w:style w:type="character" w:customStyle="1" w:styleId="Heading3Char">
    <w:name w:val="Heading 3 Char"/>
    <w:basedOn w:val="DefaultParagraphFont"/>
    <w:link w:val="Heading3"/>
    <w:rsid w:val="00EE264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B07DF"/>
    <w:rPr>
      <w:color w:val="0000FF" w:themeColor="hyperlink"/>
      <w:u w:val="single"/>
    </w:rPr>
  </w:style>
  <w:style w:type="paragraph" w:styleId="ListParagraph">
    <w:name w:val="List Paragraph"/>
    <w:basedOn w:val="Normal"/>
    <w:qFormat/>
    <w:rsid w:val="00503C17"/>
    <w:pPr>
      <w:ind w:left="720"/>
      <w:contextualSpacing/>
    </w:pPr>
    <w:rPr>
      <w:rFonts w:ascii="Calibri" w:eastAsia="Calibri" w:hAnsi="Calibri" w:cs="Times New Roman"/>
      <w:lang w:val="en-US"/>
    </w:rPr>
  </w:style>
  <w:style w:type="character" w:styleId="FollowedHyperlink">
    <w:name w:val="FollowedHyperlink"/>
    <w:basedOn w:val="DefaultParagraphFont"/>
    <w:uiPriority w:val="99"/>
    <w:semiHidden/>
    <w:unhideWhenUsed/>
    <w:rsid w:val="00744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integrity/" TargetMode="External"/><Relationship Id="rId13" Type="http://schemas.openxmlformats.org/officeDocument/2006/relationships/hyperlink" Target="http://www.maces.ca" TargetMode="External"/><Relationship Id="rId3" Type="http://schemas.openxmlformats.org/officeDocument/2006/relationships/settings" Target="settings.xml"/><Relationship Id="rId7" Type="http://schemas.openxmlformats.org/officeDocument/2006/relationships/hyperlink" Target="http://www.mcgill.ca/integrity" TargetMode="External"/><Relationship Id="rId12" Type="http://schemas.openxmlformats.org/officeDocument/2006/relationships/hyperlink" Target="http://www.mcgill.c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2vs8.campus.mcgill.ca\data8\conted\User\kparen4\Templates\www.mcgill.ca\minerva-stud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cgill.ca/osd" TargetMode="External"/><Relationship Id="rId4" Type="http://schemas.openxmlformats.org/officeDocument/2006/relationships/webSettings" Target="webSettings.xml"/><Relationship Id="rId9" Type="http://schemas.openxmlformats.org/officeDocument/2006/relationships/hyperlink" Target="http://www.mcgill.ca/continuingstudies/current-students/student-services-and-resour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Parent</dc:creator>
  <cp:lastModifiedBy>Inna Popova, Ms.</cp:lastModifiedBy>
  <cp:revision>17</cp:revision>
  <cp:lastPrinted>2013-02-11T21:34:00Z</cp:lastPrinted>
  <dcterms:created xsi:type="dcterms:W3CDTF">2014-07-02T13:59:00Z</dcterms:created>
  <dcterms:modified xsi:type="dcterms:W3CDTF">2016-09-22T22:33:00Z</dcterms:modified>
</cp:coreProperties>
</file>