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DCA1" w14:textId="7C4058F7" w:rsidR="00387BD1" w:rsidRPr="00387BD1" w:rsidRDefault="00387BD1" w:rsidP="00387BD1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 w:rsidRPr="00387BD1">
        <w:rPr>
          <w:rFonts w:ascii="Georgia" w:hAnsi="Georgia"/>
          <w:b/>
          <w:sz w:val="28"/>
          <w:szCs w:val="28"/>
          <w:u w:val="single"/>
        </w:rPr>
        <w:t>July 11, 2014 Program</w:t>
      </w:r>
      <w:r w:rsidR="00E2046C">
        <w:rPr>
          <w:rFonts w:ascii="Georgia" w:hAnsi="Georgia"/>
          <w:b/>
          <w:sz w:val="28"/>
          <w:szCs w:val="28"/>
          <w:u w:val="single"/>
        </w:rPr>
        <w:t>me du 11 juillet 2014</w:t>
      </w:r>
      <w:bookmarkStart w:id="0" w:name="_GoBack"/>
      <w:bookmarkEnd w:id="0"/>
    </w:p>
    <w:p w14:paraId="48DED3F8" w14:textId="77777777" w:rsidR="00387BD1" w:rsidRPr="00387BD1" w:rsidRDefault="00387BD1" w:rsidP="00387BD1">
      <w:pPr>
        <w:pStyle w:val="NoSpacing"/>
        <w:rPr>
          <w:rFonts w:ascii="Georgia" w:hAnsi="Georgia" w:cs="Georgia"/>
          <w:color w:val="2F2A27"/>
        </w:rPr>
      </w:pPr>
      <w:r w:rsidRPr="00387BD1">
        <w:rPr>
          <w:rFonts w:ascii="Georgia" w:hAnsi="Georgia" w:cs="Georgia"/>
          <w:color w:val="2F2A27"/>
        </w:rPr>
        <w:t>Faculté de droit, Université McGill – McGill Faculty of Law</w:t>
      </w:r>
    </w:p>
    <w:p w14:paraId="2776B5E0" w14:textId="77777777" w:rsidR="00387BD1" w:rsidRPr="00387BD1" w:rsidRDefault="00387BD1" w:rsidP="00387BD1">
      <w:pPr>
        <w:pStyle w:val="NoSpacing"/>
        <w:rPr>
          <w:rFonts w:ascii="Georgia" w:hAnsi="Georgia" w:cs="Georgia"/>
          <w:color w:val="2F2A27"/>
        </w:rPr>
      </w:pPr>
      <w:r w:rsidRPr="00387BD1">
        <w:rPr>
          <w:rFonts w:ascii="Georgia" w:hAnsi="Georgia" w:cs="Georgia"/>
          <w:color w:val="2F2A27"/>
        </w:rPr>
        <w:t>3644 Peel, Montréal, H3A 1W9</w:t>
      </w:r>
    </w:p>
    <w:p w14:paraId="102C119E" w14:textId="77777777" w:rsidR="00387BD1" w:rsidRPr="00387BD1" w:rsidRDefault="00387BD1" w:rsidP="00387BD1">
      <w:pPr>
        <w:pStyle w:val="NoSpacing"/>
        <w:rPr>
          <w:rFonts w:ascii="Georgia" w:hAnsi="Georgia" w:cs="Georgia"/>
          <w:color w:val="2F2A27"/>
        </w:rPr>
      </w:pPr>
      <w:r w:rsidRPr="00387BD1">
        <w:rPr>
          <w:rFonts w:ascii="Georgia" w:hAnsi="Georgia" w:cs="Georgia"/>
          <w:color w:val="2F2A27"/>
        </w:rPr>
        <w:t>New Chancellor Day Hall</w:t>
      </w:r>
    </w:p>
    <w:p w14:paraId="05AC9991" w14:textId="77777777" w:rsidR="00387BD1" w:rsidRPr="00387BD1" w:rsidRDefault="00387BD1" w:rsidP="00387BD1">
      <w:pPr>
        <w:pStyle w:val="NoSpacing"/>
        <w:rPr>
          <w:rFonts w:ascii="Georgia" w:hAnsi="Georgia" w:cs="Georgia"/>
          <w:color w:val="2F2A27"/>
        </w:rPr>
      </w:pPr>
      <w:r w:rsidRPr="00387BD1">
        <w:rPr>
          <w:rFonts w:ascii="Georgia" w:hAnsi="Georgia" w:cs="Georgia"/>
          <w:color w:val="2F2A27"/>
        </w:rPr>
        <w:t>Séances plénières – Plenary Sessions : salle - room 100</w:t>
      </w:r>
    </w:p>
    <w:p w14:paraId="498C07DF" w14:textId="77777777" w:rsidR="00387BD1" w:rsidRDefault="00387BD1" w:rsidP="00387BD1">
      <w:pPr>
        <w:pStyle w:val="NoSpacing"/>
        <w:rPr>
          <w:rFonts w:ascii="Georgia" w:hAnsi="Georgia" w:cs="Georgia"/>
          <w:color w:val="2F2A27"/>
        </w:rPr>
      </w:pPr>
      <w:r w:rsidRPr="00387BD1">
        <w:rPr>
          <w:rFonts w:ascii="Georgia" w:hAnsi="Georgia" w:cs="Georgia"/>
          <w:color w:val="2F2A27"/>
        </w:rPr>
        <w:t xml:space="preserve">Ateliers – Workshops : salles - rooms 101 </w:t>
      </w:r>
      <w:r>
        <w:rPr>
          <w:rFonts w:ascii="Georgia" w:hAnsi="Georgia" w:cs="Georgia"/>
          <w:color w:val="2F2A27"/>
        </w:rPr>
        <w:t>–</w:t>
      </w:r>
      <w:r w:rsidRPr="00387BD1">
        <w:rPr>
          <w:rFonts w:ascii="Georgia" w:hAnsi="Georgia" w:cs="Georgia"/>
          <w:color w:val="2F2A27"/>
        </w:rPr>
        <w:t xml:space="preserve"> 102</w:t>
      </w:r>
    </w:p>
    <w:p w14:paraId="1C16D8B2" w14:textId="77777777" w:rsidR="00387BD1" w:rsidRDefault="00387BD1" w:rsidP="00387BD1">
      <w:pPr>
        <w:pStyle w:val="NoSpacing"/>
        <w:rPr>
          <w:rFonts w:ascii="Georgia" w:hAnsi="Georgia" w:cs="Georgia"/>
          <w:color w:val="2F2A27"/>
        </w:rPr>
      </w:pPr>
    </w:p>
    <w:p w14:paraId="3383E09C" w14:textId="77777777" w:rsidR="00387BD1" w:rsidRDefault="00387BD1" w:rsidP="00387BD1">
      <w:pPr>
        <w:pStyle w:val="NoSpacing"/>
        <w:rPr>
          <w:rFonts w:ascii="Georgia" w:hAnsi="Georgia" w:cs="Georgia"/>
          <w:color w:val="2F2A27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3"/>
        <w:gridCol w:w="5928"/>
        <w:gridCol w:w="5925"/>
      </w:tblGrid>
      <w:tr w:rsidR="00387BD1" w14:paraId="62C106C2" w14:textId="77777777" w:rsidTr="00387BD1">
        <w:tc>
          <w:tcPr>
            <w:tcW w:w="945" w:type="pct"/>
          </w:tcPr>
          <w:p w14:paraId="654C8022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b/>
                <w:color w:val="2F2A27"/>
              </w:rPr>
              <w:t xml:space="preserve">8:30 </w:t>
            </w:r>
            <w:r w:rsidRPr="00387BD1">
              <w:rPr>
                <w:rFonts w:ascii="Times New Roman" w:hAnsi="Times New Roman" w:cs="Times New Roman"/>
                <w:b/>
                <w:color w:val="2F2A27"/>
              </w:rPr>
              <w:t>−</w:t>
            </w:r>
            <w:r w:rsidRPr="00387BD1">
              <w:rPr>
                <w:rFonts w:ascii="Georgia" w:hAnsi="Georgia"/>
                <w:b/>
                <w:color w:val="2F2A27"/>
              </w:rPr>
              <w:t xml:space="preserve"> 9:00  </w:t>
            </w:r>
          </w:p>
        </w:tc>
        <w:tc>
          <w:tcPr>
            <w:tcW w:w="4055" w:type="pct"/>
            <w:gridSpan w:val="2"/>
          </w:tcPr>
          <w:p w14:paraId="42DC92C9" w14:textId="77777777" w:rsidR="00387BD1" w:rsidRPr="00387BD1" w:rsidRDefault="00387BD1" w:rsidP="00387BD1">
            <w:pPr>
              <w:pStyle w:val="NoSpacing"/>
              <w:rPr>
                <w:rFonts w:ascii="Georgia" w:hAnsi="Georgia"/>
                <w:b/>
              </w:rPr>
            </w:pPr>
            <w:r w:rsidRPr="00387BD1">
              <w:rPr>
                <w:rFonts w:ascii="Georgia" w:hAnsi="Georgia"/>
                <w:b/>
                <w:color w:val="2F2A27"/>
              </w:rPr>
              <w:t>Inscription | Registration</w:t>
            </w:r>
          </w:p>
          <w:p w14:paraId="22F7FB38" w14:textId="77777777" w:rsidR="00387BD1" w:rsidRP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t>Un déjeuner sera servi aux participants | Breakfast will be served to participants</w:t>
            </w:r>
          </w:p>
          <w:p w14:paraId="1E6D50CA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t>Atrium, Faculté de droit | Atrium, Faculty of Law</w:t>
            </w:r>
          </w:p>
        </w:tc>
      </w:tr>
      <w:tr w:rsidR="00387BD1" w14:paraId="5A657FF9" w14:textId="77777777" w:rsidTr="00387BD1">
        <w:tc>
          <w:tcPr>
            <w:tcW w:w="945" w:type="pct"/>
          </w:tcPr>
          <w:p w14:paraId="222D3538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 xml:space="preserve">9:00 </w:t>
            </w:r>
            <w:r w:rsidRPr="00387BD1">
              <w:rPr>
                <w:rFonts w:ascii="Times New Roman" w:hAnsi="Times New Roman" w:cs="Times New Roman"/>
                <w:color w:val="2F2A27"/>
              </w:rPr>
              <w:t>−</w:t>
            </w:r>
            <w:r w:rsidRPr="00387BD1">
              <w:rPr>
                <w:rFonts w:ascii="Georgia" w:hAnsi="Georgia"/>
                <w:color w:val="2F2A27"/>
              </w:rPr>
              <w:t xml:space="preserve"> 9:05  </w:t>
            </w:r>
          </w:p>
        </w:tc>
        <w:tc>
          <w:tcPr>
            <w:tcW w:w="4055" w:type="pct"/>
            <w:gridSpan w:val="2"/>
          </w:tcPr>
          <w:p w14:paraId="3B5F58AC" w14:textId="77777777" w:rsidR="00387BD1" w:rsidRPr="00387BD1" w:rsidRDefault="00387BD1" w:rsidP="00387BD1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/>
                <w:color w:val="2F2A27"/>
              </w:rPr>
              <w:t>Mot de bienvenue | Welcome</w:t>
            </w:r>
          </w:p>
          <w:p w14:paraId="53D98238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Daniel Jutras</w:t>
            </w:r>
            <w:r w:rsidRPr="00387BD1">
              <w:rPr>
                <w:rFonts w:ascii="Georgia" w:hAnsi="Georgia" w:cs="Georgia"/>
                <w:color w:val="2F2A27"/>
              </w:rPr>
              <w:t>, doyen de la Faculté de droit de l’Université McGill</w:t>
            </w:r>
          </w:p>
        </w:tc>
      </w:tr>
      <w:tr w:rsidR="00387BD1" w14:paraId="0B0D630C" w14:textId="77777777" w:rsidTr="00387BD1">
        <w:tc>
          <w:tcPr>
            <w:tcW w:w="945" w:type="pct"/>
          </w:tcPr>
          <w:p w14:paraId="02EB674D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>9h05 – 10h50  </w:t>
            </w:r>
          </w:p>
        </w:tc>
        <w:tc>
          <w:tcPr>
            <w:tcW w:w="4055" w:type="pct"/>
            <w:gridSpan w:val="2"/>
          </w:tcPr>
          <w:p w14:paraId="1BE6A168" w14:textId="77777777" w:rsidR="00387BD1" w:rsidRPr="00387BD1" w:rsidRDefault="00387BD1" w:rsidP="00387BD1">
            <w:pPr>
              <w:pStyle w:val="NoSpacing"/>
              <w:rPr>
                <w:rFonts w:ascii="Georgia" w:hAnsi="Georgia"/>
                <w:b/>
              </w:rPr>
            </w:pPr>
            <w:r w:rsidRPr="00387BD1">
              <w:rPr>
                <w:rFonts w:ascii="Georgia" w:hAnsi="Georgia"/>
                <w:b/>
                <w:color w:val="2F2A27"/>
              </w:rPr>
              <w:t>Séance plénière | Plenary Session :Perspectives européennes en matière de droit et langue</w:t>
            </w:r>
          </w:p>
          <w:p w14:paraId="79CAE19B" w14:textId="77777777" w:rsidR="00387BD1" w:rsidRDefault="00387BD1" w:rsidP="00387BD1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773DEB72" w14:textId="77777777" w:rsidR="00387BD1" w:rsidRP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Marie-Eugénie Laporte-Legeais</w:t>
            </w:r>
            <w:r w:rsidRPr="00387BD1">
              <w:rPr>
                <w:rFonts w:ascii="Georgia" w:hAnsi="Georgia" w:cs="Georgia"/>
                <w:color w:val="2F2A27"/>
              </w:rPr>
              <w:t xml:space="preserve">, Professeur des Universités, Directrice de </w:t>
            </w:r>
            <w:r w:rsidRPr="00387BD1">
              <w:rPr>
                <w:rFonts w:ascii="Georgia" w:hAnsi="Georgia" w:cs="Georgia"/>
                <w:i/>
                <w:iCs/>
                <w:color w:val="2F2A27"/>
              </w:rPr>
              <w:t>Juriscope</w:t>
            </w:r>
          </w:p>
          <w:p w14:paraId="1D7E633C" w14:textId="77777777" w:rsidR="00387BD1" w:rsidRP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Les mots du droit</w:t>
            </w:r>
          </w:p>
          <w:p w14:paraId="14B1C127" w14:textId="77777777" w:rsidR="00387BD1" w:rsidRDefault="00387BD1" w:rsidP="00387BD1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024BAC2B" w14:textId="77777777" w:rsidR="00387BD1" w:rsidRP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Giulia Terlizzi</w:t>
            </w:r>
            <w:r w:rsidRPr="00387BD1">
              <w:rPr>
                <w:rFonts w:ascii="Georgia" w:hAnsi="Georgia" w:cs="Georgia"/>
                <w:color w:val="2F2A27"/>
              </w:rPr>
              <w:t>, Université de Turin</w:t>
            </w:r>
          </w:p>
          <w:p w14:paraId="2C18AD89" w14:textId="77777777" w:rsidR="00387BD1" w:rsidRP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‘‘Public policy’’, ‘‘public order’’, ordre public: conflits de culture</w:t>
            </w:r>
          </w:p>
          <w:p w14:paraId="49C6384A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  <w:p w14:paraId="546A3F5B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t>Modératrice | Moderator : </w:t>
            </w:r>
            <w:r w:rsidRPr="00387BD1">
              <w:rPr>
                <w:rFonts w:ascii="Georgia" w:hAnsi="Georgia" w:cs="Georgia"/>
                <w:b/>
                <w:bCs/>
                <w:color w:val="2F2A27"/>
              </w:rPr>
              <w:t>Aileen Clark</w:t>
            </w:r>
            <w:r w:rsidRPr="00387BD1">
              <w:rPr>
                <w:rFonts w:ascii="Georgia" w:hAnsi="Georgia" w:cs="Georgia"/>
                <w:color w:val="2F2A27"/>
              </w:rPr>
              <w:t>, Directrice, Division de l’éducation permanente et du Service de perfectionnement linguistique, Université de Saint-Boniface</w:t>
            </w:r>
          </w:p>
        </w:tc>
      </w:tr>
      <w:tr w:rsidR="00387BD1" w14:paraId="1DF878F9" w14:textId="77777777" w:rsidTr="00387BD1">
        <w:tc>
          <w:tcPr>
            <w:tcW w:w="945" w:type="pct"/>
          </w:tcPr>
          <w:p w14:paraId="1B9D86CC" w14:textId="77777777" w:rsidR="00387BD1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>10h50 – 11h10  </w:t>
            </w:r>
          </w:p>
        </w:tc>
        <w:tc>
          <w:tcPr>
            <w:tcW w:w="4055" w:type="pct"/>
            <w:gridSpan w:val="2"/>
          </w:tcPr>
          <w:p w14:paraId="054905DF" w14:textId="77777777" w:rsidR="00587A0E" w:rsidRPr="00387BD1" w:rsidRDefault="00587A0E" w:rsidP="00587A0E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/>
                <w:color w:val="2F2A27"/>
              </w:rPr>
              <w:t>Pause | Break</w:t>
            </w:r>
          </w:p>
          <w:p w14:paraId="5D72F39B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</w:tr>
      <w:tr w:rsidR="00587A0E" w14:paraId="7C33640A" w14:textId="77777777" w:rsidTr="00587A0E">
        <w:tc>
          <w:tcPr>
            <w:tcW w:w="945" w:type="pct"/>
            <w:vMerge w:val="restart"/>
          </w:tcPr>
          <w:p w14:paraId="60459F01" w14:textId="77777777" w:rsidR="00587A0E" w:rsidRPr="00387BD1" w:rsidRDefault="00587A0E" w:rsidP="00387BD1">
            <w:pPr>
              <w:pStyle w:val="NoSpacing"/>
              <w:rPr>
                <w:rFonts w:ascii="Georgia" w:hAnsi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 xml:space="preserve">11h10 </w:t>
            </w:r>
            <w:r w:rsidRPr="00387BD1">
              <w:rPr>
                <w:rFonts w:ascii="Times New Roman" w:hAnsi="Times New Roman" w:cs="Times New Roman"/>
                <w:color w:val="2F2A27"/>
              </w:rPr>
              <w:t>−</w:t>
            </w:r>
            <w:r w:rsidRPr="00387BD1">
              <w:rPr>
                <w:rFonts w:ascii="Georgia" w:hAnsi="Georgia"/>
                <w:color w:val="2F2A27"/>
              </w:rPr>
              <w:t xml:space="preserve"> 12h10  </w:t>
            </w:r>
          </w:p>
        </w:tc>
        <w:tc>
          <w:tcPr>
            <w:tcW w:w="4055" w:type="pct"/>
            <w:gridSpan w:val="2"/>
          </w:tcPr>
          <w:p w14:paraId="69F1CC31" w14:textId="77777777" w:rsidR="00587A0E" w:rsidRPr="00587A0E" w:rsidRDefault="00587A0E" w:rsidP="00587A0E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587A0E">
              <w:rPr>
                <w:rFonts w:ascii="Georgia" w:hAnsi="Georgia"/>
                <w:b/>
                <w:color w:val="2F2A27"/>
              </w:rPr>
              <w:t>Décisions judiciaires et problèmes de traduction</w:t>
            </w:r>
          </w:p>
        </w:tc>
      </w:tr>
      <w:tr w:rsidR="00587A0E" w14:paraId="6FFEACA4" w14:textId="77777777" w:rsidTr="00587A0E">
        <w:tc>
          <w:tcPr>
            <w:tcW w:w="945" w:type="pct"/>
            <w:vMerge/>
          </w:tcPr>
          <w:p w14:paraId="5A91D795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  <w:tc>
          <w:tcPr>
            <w:tcW w:w="2028" w:type="pct"/>
          </w:tcPr>
          <w:p w14:paraId="28084406" w14:textId="77777777" w:rsidR="00587A0E" w:rsidRDefault="00587A0E" w:rsidP="00587A0E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60266C4D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Karine McLaren</w:t>
            </w:r>
            <w:r w:rsidRPr="00387BD1">
              <w:rPr>
                <w:rFonts w:ascii="Georgia" w:hAnsi="Georgia" w:cs="Georgia"/>
                <w:color w:val="2F2A27"/>
              </w:rPr>
              <w:t>, Centre de traduction et de terminologie juridiques</w:t>
            </w:r>
          </w:p>
          <w:p w14:paraId="3D15A2CF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La traduction des décisions judiciaires au Canada</w:t>
            </w:r>
          </w:p>
          <w:p w14:paraId="0213BB11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t xml:space="preserve">Modératrice | Moderator : </w:t>
            </w:r>
            <w:r w:rsidRPr="00387BD1">
              <w:rPr>
                <w:rFonts w:ascii="Georgia" w:hAnsi="Georgia" w:cs="Georgia"/>
                <w:b/>
                <w:bCs/>
                <w:color w:val="2F2A27"/>
              </w:rPr>
              <w:t>Laurence Bich-Carrière</w:t>
            </w:r>
          </w:p>
          <w:p w14:paraId="49FC22D0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  <w:tc>
          <w:tcPr>
            <w:tcW w:w="2027" w:type="pct"/>
          </w:tcPr>
          <w:p w14:paraId="68D062C6" w14:textId="77777777" w:rsidR="00587A0E" w:rsidRDefault="00587A0E" w:rsidP="00587A0E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1D6A3547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Louis Fortier</w:t>
            </w:r>
            <w:r w:rsidRPr="00387BD1">
              <w:rPr>
                <w:rFonts w:ascii="Georgia" w:hAnsi="Georgia" w:cs="Georgia"/>
                <w:color w:val="2F2A27"/>
              </w:rPr>
              <w:t>, Président de l’Association canadienne des juristes-traducteurs (ACJT)</w:t>
            </w:r>
          </w:p>
          <w:p w14:paraId="0E8A9520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L'article 40.1 de la LVMQ, ou les tribulations d'un jurilinguiste-lobbyiste</w:t>
            </w:r>
          </w:p>
          <w:p w14:paraId="7587A62B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t xml:space="preserve">Modératrice | Moderator : </w:t>
            </w:r>
            <w:r w:rsidRPr="00387BD1">
              <w:rPr>
                <w:rFonts w:ascii="Georgia" w:hAnsi="Georgia" w:cs="Georgia"/>
                <w:b/>
                <w:bCs/>
                <w:color w:val="2F2A27"/>
              </w:rPr>
              <w:t>Alexandra Popovici</w:t>
            </w:r>
          </w:p>
        </w:tc>
      </w:tr>
      <w:tr w:rsidR="00387BD1" w14:paraId="0B182A98" w14:textId="77777777" w:rsidTr="00387BD1">
        <w:tc>
          <w:tcPr>
            <w:tcW w:w="945" w:type="pct"/>
          </w:tcPr>
          <w:p w14:paraId="1831F482" w14:textId="77777777" w:rsidR="00387BD1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>12:10 – 13:30  </w:t>
            </w:r>
          </w:p>
        </w:tc>
        <w:tc>
          <w:tcPr>
            <w:tcW w:w="4055" w:type="pct"/>
            <w:gridSpan w:val="2"/>
          </w:tcPr>
          <w:p w14:paraId="4F7DEC7A" w14:textId="77777777" w:rsidR="00587A0E" w:rsidRPr="00387BD1" w:rsidRDefault="00587A0E" w:rsidP="00587A0E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/>
                <w:color w:val="2F2A27"/>
              </w:rPr>
              <w:t>Dîner | Lunch</w:t>
            </w:r>
          </w:p>
          <w:p w14:paraId="2CE5E893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</w:tr>
      <w:tr w:rsidR="00587A0E" w14:paraId="75B510F4" w14:textId="77777777" w:rsidTr="00387BD1">
        <w:tc>
          <w:tcPr>
            <w:tcW w:w="945" w:type="pct"/>
            <w:vMerge w:val="restart"/>
          </w:tcPr>
          <w:p w14:paraId="3926BEDE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 xml:space="preserve">13:30 </w:t>
            </w:r>
            <w:r w:rsidRPr="00387BD1">
              <w:rPr>
                <w:rFonts w:ascii="Times New Roman" w:hAnsi="Times New Roman" w:cs="Times New Roman"/>
                <w:color w:val="2F2A27"/>
              </w:rPr>
              <w:t>−</w:t>
            </w:r>
            <w:r w:rsidRPr="00387BD1">
              <w:rPr>
                <w:rFonts w:ascii="Georgia" w:hAnsi="Georgia"/>
                <w:color w:val="2F2A27"/>
              </w:rPr>
              <w:t xml:space="preserve"> 14:30  </w:t>
            </w:r>
          </w:p>
        </w:tc>
        <w:tc>
          <w:tcPr>
            <w:tcW w:w="4055" w:type="pct"/>
            <w:gridSpan w:val="2"/>
          </w:tcPr>
          <w:p w14:paraId="1E752696" w14:textId="77777777" w:rsidR="00587A0E" w:rsidRPr="00387BD1" w:rsidRDefault="00587A0E" w:rsidP="00587A0E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/>
                <w:color w:val="2F2A27"/>
              </w:rPr>
              <w:t>Questions de bilinguisme et de traduction juridique</w:t>
            </w:r>
          </w:p>
          <w:p w14:paraId="0F561D77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</w:tr>
      <w:tr w:rsidR="00587A0E" w14:paraId="0942DF32" w14:textId="77777777" w:rsidTr="00587A0E">
        <w:tc>
          <w:tcPr>
            <w:tcW w:w="945" w:type="pct"/>
            <w:vMerge/>
          </w:tcPr>
          <w:p w14:paraId="3E585FB8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  <w:tc>
          <w:tcPr>
            <w:tcW w:w="2028" w:type="pct"/>
          </w:tcPr>
          <w:p w14:paraId="5F5CF214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David Lametti</w:t>
            </w:r>
            <w:r w:rsidRPr="00387BD1">
              <w:rPr>
                <w:rFonts w:ascii="Georgia" w:hAnsi="Georgia" w:cs="Georgia"/>
                <w:color w:val="2F2A27"/>
              </w:rPr>
              <w:t>, Université McGill</w:t>
            </w:r>
          </w:p>
          <w:p w14:paraId="0BBFDA1C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Josserand in Translation</w:t>
            </w:r>
          </w:p>
          <w:p w14:paraId="5A1F2CC7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lastRenderedPageBreak/>
              <w:t>Modératrice | Moderator :</w:t>
            </w:r>
            <w:r w:rsidRPr="00387BD1">
              <w:rPr>
                <w:rFonts w:ascii="Georgia" w:hAnsi="Georgia" w:cs="Georgia"/>
                <w:b/>
                <w:bCs/>
                <w:color w:val="2F2A27"/>
              </w:rPr>
              <w:t xml:space="preserve"> Régine Tremblay</w:t>
            </w:r>
          </w:p>
          <w:p w14:paraId="7905A881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  <w:tc>
          <w:tcPr>
            <w:tcW w:w="2027" w:type="pct"/>
          </w:tcPr>
          <w:p w14:paraId="691E5160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lastRenderedPageBreak/>
              <w:t>Michel Doucet</w:t>
            </w:r>
            <w:r w:rsidRPr="00387BD1">
              <w:rPr>
                <w:rFonts w:ascii="Georgia" w:hAnsi="Georgia" w:cs="Georgia"/>
                <w:color w:val="2F2A27"/>
              </w:rPr>
              <w:t>, Directeur de l’observatoire international des droits linguistiques</w:t>
            </w:r>
          </w:p>
          <w:p w14:paraId="4B24BB19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lastRenderedPageBreak/>
              <w:t>L'interprétation des textes de loi bilingues en contexte canadien</w:t>
            </w:r>
          </w:p>
          <w:p w14:paraId="5B2A8526" w14:textId="77777777" w:rsidR="00587A0E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color w:val="2F2A27"/>
              </w:rPr>
              <w:t xml:space="preserve">Modératrice | Moderator : </w:t>
            </w:r>
            <w:r w:rsidRPr="00387BD1">
              <w:rPr>
                <w:rFonts w:ascii="Georgia" w:hAnsi="Georgia" w:cs="Georgia"/>
                <w:b/>
                <w:bCs/>
                <w:color w:val="2F2A27"/>
              </w:rPr>
              <w:t>Anne-Sophie Hulin</w:t>
            </w:r>
          </w:p>
        </w:tc>
      </w:tr>
      <w:tr w:rsidR="00387BD1" w14:paraId="572D6F19" w14:textId="77777777" w:rsidTr="00387BD1">
        <w:tc>
          <w:tcPr>
            <w:tcW w:w="945" w:type="pct"/>
          </w:tcPr>
          <w:p w14:paraId="65793337" w14:textId="77777777" w:rsidR="00387BD1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lastRenderedPageBreak/>
              <w:t xml:space="preserve">14:30 </w:t>
            </w:r>
            <w:r w:rsidRPr="00387BD1">
              <w:rPr>
                <w:rFonts w:ascii="Times New Roman" w:hAnsi="Times New Roman" w:cs="Times New Roman"/>
                <w:color w:val="2F2A27"/>
              </w:rPr>
              <w:t>−</w:t>
            </w:r>
            <w:r w:rsidRPr="00387BD1">
              <w:rPr>
                <w:rFonts w:ascii="Georgia" w:hAnsi="Georgia"/>
                <w:color w:val="2F2A27"/>
              </w:rPr>
              <w:t xml:space="preserve"> 14:45  </w:t>
            </w:r>
          </w:p>
        </w:tc>
        <w:tc>
          <w:tcPr>
            <w:tcW w:w="4055" w:type="pct"/>
            <w:gridSpan w:val="2"/>
          </w:tcPr>
          <w:p w14:paraId="75AEABB4" w14:textId="77777777" w:rsidR="00587A0E" w:rsidRPr="00387BD1" w:rsidRDefault="00587A0E" w:rsidP="00587A0E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/>
                <w:color w:val="2F2A27"/>
              </w:rPr>
              <w:t>Pause | Break</w:t>
            </w:r>
          </w:p>
          <w:p w14:paraId="48FE19B7" w14:textId="77777777" w:rsidR="00387BD1" w:rsidRDefault="00387BD1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</w:p>
        </w:tc>
      </w:tr>
      <w:tr w:rsidR="00387BD1" w14:paraId="3E8F4267" w14:textId="77777777" w:rsidTr="00387BD1">
        <w:tc>
          <w:tcPr>
            <w:tcW w:w="945" w:type="pct"/>
          </w:tcPr>
          <w:p w14:paraId="050C0853" w14:textId="77777777" w:rsidR="00387BD1" w:rsidRDefault="00587A0E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>14:45 – 16:30  </w:t>
            </w:r>
          </w:p>
        </w:tc>
        <w:tc>
          <w:tcPr>
            <w:tcW w:w="4055" w:type="pct"/>
            <w:gridSpan w:val="2"/>
          </w:tcPr>
          <w:p w14:paraId="39A7FD64" w14:textId="77777777" w:rsidR="00387BD1" w:rsidRDefault="00587A0E" w:rsidP="00587A0E">
            <w:pPr>
              <w:pStyle w:val="NoSpacing"/>
              <w:jc w:val="center"/>
              <w:rPr>
                <w:rFonts w:ascii="Georgia" w:hAnsi="Georgia"/>
                <w:b/>
                <w:color w:val="2F2A27"/>
              </w:rPr>
            </w:pPr>
            <w:r w:rsidRPr="00587A0E">
              <w:rPr>
                <w:rFonts w:ascii="Georgia" w:hAnsi="Georgia"/>
                <w:b/>
                <w:color w:val="2F2A27"/>
              </w:rPr>
              <w:t>Séance plénière | Plenary : Droits linguistiques, altérité et accessibilité du droit</w:t>
            </w:r>
          </w:p>
          <w:p w14:paraId="762E226F" w14:textId="77777777" w:rsidR="00CA567B" w:rsidRDefault="00CA567B" w:rsidP="00587A0E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7CB0C9BB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Naiomi W. Metallic</w:t>
            </w:r>
            <w:r w:rsidRPr="00387BD1">
              <w:rPr>
                <w:rFonts w:ascii="Georgia" w:hAnsi="Georgia" w:cs="Georgia"/>
                <w:color w:val="2F2A27"/>
              </w:rPr>
              <w:t>, Burschells LLP</w:t>
            </w:r>
          </w:p>
          <w:p w14:paraId="2537F40F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Les droits linguistiques des peuples autochtones</w:t>
            </w:r>
          </w:p>
          <w:p w14:paraId="6E9AB74B" w14:textId="77777777" w:rsidR="00587A0E" w:rsidRDefault="00587A0E" w:rsidP="00587A0E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40769BE7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Daniel Weinstock</w:t>
            </w:r>
            <w:r w:rsidRPr="00387BD1">
              <w:rPr>
                <w:rFonts w:ascii="Georgia" w:hAnsi="Georgia" w:cs="Georgia"/>
                <w:color w:val="2F2A27"/>
              </w:rPr>
              <w:t>, Université McGill</w:t>
            </w:r>
          </w:p>
          <w:p w14:paraId="2147B6E0" w14:textId="77777777" w:rsidR="00587A0E" w:rsidRPr="00387BD1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i/>
                <w:iCs/>
                <w:color w:val="2F2A27"/>
              </w:rPr>
              <w:t>Liberalism and Language Policy in “Mere Number Cases”</w:t>
            </w:r>
          </w:p>
          <w:p w14:paraId="573F6D90" w14:textId="77777777" w:rsidR="00587A0E" w:rsidRDefault="00587A0E" w:rsidP="00587A0E">
            <w:pPr>
              <w:pStyle w:val="NoSpacing"/>
              <w:rPr>
                <w:rFonts w:ascii="Georgia" w:hAnsi="Georgia" w:cs="Georgia"/>
                <w:color w:val="2F2A27"/>
              </w:rPr>
            </w:pPr>
          </w:p>
          <w:p w14:paraId="375B2460" w14:textId="77777777" w:rsidR="00587A0E" w:rsidRPr="00587A0E" w:rsidRDefault="00587A0E" w:rsidP="00587A0E">
            <w:pPr>
              <w:pStyle w:val="NoSpacing"/>
            </w:pPr>
            <w:r w:rsidRPr="00387BD1">
              <w:rPr>
                <w:rFonts w:ascii="Georgia" w:hAnsi="Georgia" w:cs="Georgia"/>
                <w:color w:val="2F2A27"/>
              </w:rPr>
              <w:t xml:space="preserve">Modératrice | Moderator : </w:t>
            </w:r>
            <w:r w:rsidRPr="00387BD1">
              <w:rPr>
                <w:rFonts w:ascii="Georgia" w:hAnsi="Georgia" w:cs="Georgia"/>
                <w:b/>
                <w:bCs/>
                <w:color w:val="2F2A27"/>
              </w:rPr>
              <w:t>Carmen Roberge</w:t>
            </w:r>
          </w:p>
        </w:tc>
      </w:tr>
      <w:tr w:rsidR="00387BD1" w14:paraId="2AEDF073" w14:textId="77777777" w:rsidTr="00387BD1">
        <w:tc>
          <w:tcPr>
            <w:tcW w:w="945" w:type="pct"/>
          </w:tcPr>
          <w:p w14:paraId="18F346DB" w14:textId="103658B5" w:rsidR="00387BD1" w:rsidRDefault="00392B70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>16h30 – 16h45  </w:t>
            </w:r>
          </w:p>
        </w:tc>
        <w:tc>
          <w:tcPr>
            <w:tcW w:w="4055" w:type="pct"/>
            <w:gridSpan w:val="2"/>
          </w:tcPr>
          <w:p w14:paraId="0E793C70" w14:textId="77777777" w:rsidR="00392B70" w:rsidRPr="00392B70" w:rsidRDefault="00392B70" w:rsidP="00392B70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392B70">
              <w:rPr>
                <w:rFonts w:ascii="Georgia" w:hAnsi="Georgia"/>
                <w:b/>
                <w:color w:val="2F2A27"/>
              </w:rPr>
              <w:t>Mot de la fin | Closing Words</w:t>
            </w:r>
          </w:p>
          <w:p w14:paraId="79AFCDC7" w14:textId="77777777" w:rsidR="00392B70" w:rsidRDefault="00392B70" w:rsidP="00392B70">
            <w:pPr>
              <w:pStyle w:val="NoSpacing"/>
              <w:rPr>
                <w:rFonts w:ascii="Georgia" w:hAnsi="Georgia" w:cs="Georgia"/>
                <w:b/>
                <w:bCs/>
                <w:color w:val="2F2A27"/>
              </w:rPr>
            </w:pPr>
          </w:p>
          <w:p w14:paraId="47F20671" w14:textId="68764247" w:rsidR="00387BD1" w:rsidRDefault="00392B70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 w:cs="Georgia"/>
                <w:b/>
                <w:bCs/>
                <w:color w:val="2F2A27"/>
              </w:rPr>
              <w:t>Lionel Smith</w:t>
            </w:r>
            <w:r w:rsidRPr="00387BD1">
              <w:rPr>
                <w:rFonts w:ascii="Georgia" w:hAnsi="Georgia" w:cs="Georgia"/>
                <w:color w:val="2F2A27"/>
              </w:rPr>
              <w:t>, Directeur, Centre Paul-André Crépeau de droit privé et comparé, Université McGill</w:t>
            </w:r>
          </w:p>
        </w:tc>
      </w:tr>
      <w:tr w:rsidR="00387BD1" w14:paraId="27FE3C9E" w14:textId="77777777" w:rsidTr="00387BD1">
        <w:tc>
          <w:tcPr>
            <w:tcW w:w="945" w:type="pct"/>
          </w:tcPr>
          <w:p w14:paraId="052E25A0" w14:textId="637A6423" w:rsidR="00387BD1" w:rsidRDefault="00392B70" w:rsidP="00387BD1">
            <w:pPr>
              <w:pStyle w:val="NoSpacing"/>
              <w:rPr>
                <w:rFonts w:ascii="Georgia" w:hAnsi="Georgia" w:cs="Georgia"/>
                <w:color w:val="2F2A27"/>
              </w:rPr>
            </w:pPr>
            <w:r w:rsidRPr="00387BD1">
              <w:rPr>
                <w:rFonts w:ascii="Georgia" w:hAnsi="Georgia"/>
                <w:color w:val="2F2A27"/>
              </w:rPr>
              <w:t>16h45 – 18h00  </w:t>
            </w:r>
          </w:p>
        </w:tc>
        <w:tc>
          <w:tcPr>
            <w:tcW w:w="4055" w:type="pct"/>
            <w:gridSpan w:val="2"/>
          </w:tcPr>
          <w:p w14:paraId="72E87A48" w14:textId="77777777" w:rsidR="00392B70" w:rsidRPr="00387BD1" w:rsidRDefault="00392B70" w:rsidP="00392B70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/>
                <w:color w:val="2F2A27"/>
              </w:rPr>
              <w:t>Cocktail</w:t>
            </w:r>
          </w:p>
          <w:p w14:paraId="5666274B" w14:textId="56CE5B36" w:rsidR="00387BD1" w:rsidRPr="00392B70" w:rsidRDefault="00392B70" w:rsidP="00387BD1">
            <w:pPr>
              <w:pStyle w:val="NoSpacing"/>
              <w:rPr>
                <w:rFonts w:ascii="Georgia" w:hAnsi="Georgia"/>
              </w:rPr>
            </w:pPr>
            <w:r w:rsidRPr="00387BD1">
              <w:rPr>
                <w:rFonts w:ascii="Georgia" w:hAnsi="Georgia" w:cs="Georgia"/>
                <w:color w:val="2F2A27"/>
              </w:rPr>
              <w:t>Atrium, Faculté de droit | Atrium, Faculty of Law</w:t>
            </w:r>
          </w:p>
        </w:tc>
      </w:tr>
    </w:tbl>
    <w:p w14:paraId="1532AC09" w14:textId="77777777" w:rsidR="00387BD1" w:rsidRDefault="00387BD1" w:rsidP="00387BD1">
      <w:pPr>
        <w:pStyle w:val="NoSpacing"/>
        <w:rPr>
          <w:rFonts w:ascii="Georgia" w:hAnsi="Georgia" w:cs="Georgia"/>
          <w:color w:val="2F2A27"/>
        </w:rPr>
      </w:pPr>
    </w:p>
    <w:p w14:paraId="53FE9748" w14:textId="77777777" w:rsidR="00387BD1" w:rsidRDefault="00387BD1" w:rsidP="00387BD1">
      <w:pPr>
        <w:pStyle w:val="NoSpacing"/>
        <w:rPr>
          <w:rFonts w:ascii="Georgia" w:hAnsi="Georgia" w:cs="Georgia"/>
          <w:color w:val="2F2A27"/>
        </w:rPr>
      </w:pPr>
    </w:p>
    <w:p w14:paraId="68FE7FF8" w14:textId="77777777" w:rsidR="00387BD1" w:rsidRPr="00387BD1" w:rsidRDefault="00387BD1" w:rsidP="00387BD1">
      <w:pPr>
        <w:pStyle w:val="NoSpacing"/>
        <w:rPr>
          <w:rFonts w:ascii="Georgia" w:hAnsi="Georgia" w:cs="Georgia"/>
          <w:color w:val="2F2A27"/>
        </w:rPr>
      </w:pPr>
    </w:p>
    <w:p w14:paraId="06802CA2" w14:textId="77777777" w:rsidR="00387BD1" w:rsidRPr="00387BD1" w:rsidRDefault="00387BD1" w:rsidP="00387BD1">
      <w:pPr>
        <w:pStyle w:val="NoSpacing"/>
        <w:rPr>
          <w:rFonts w:ascii="Georgia" w:hAnsi="Georgia" w:cs="Georgia"/>
          <w:color w:val="2F2A27"/>
        </w:rPr>
      </w:pPr>
    </w:p>
    <w:sectPr w:rsidR="00387BD1" w:rsidRPr="00387BD1" w:rsidSect="00587A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1"/>
    <w:rsid w:val="00387BD1"/>
    <w:rsid w:val="00392B70"/>
    <w:rsid w:val="00495241"/>
    <w:rsid w:val="00587A0E"/>
    <w:rsid w:val="009344C2"/>
    <w:rsid w:val="00CA567B"/>
    <w:rsid w:val="00E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12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BD1"/>
  </w:style>
  <w:style w:type="table" w:styleId="TableGrid">
    <w:name w:val="Table Grid"/>
    <w:basedOn w:val="TableNormal"/>
    <w:uiPriority w:val="59"/>
    <w:rsid w:val="0038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BD1"/>
  </w:style>
  <w:style w:type="table" w:styleId="TableGrid">
    <w:name w:val="Table Grid"/>
    <w:basedOn w:val="TableNormal"/>
    <w:uiPriority w:val="59"/>
    <w:rsid w:val="0038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2107</Characters>
  <Application>Microsoft Macintosh Word</Application>
  <DocSecurity>0</DocSecurity>
  <Lines>17</Lines>
  <Paragraphs>4</Paragraphs>
  <ScaleCrop>false</ScaleCrop>
  <Company>McGill University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</dc:creator>
  <cp:keywords/>
  <dc:description/>
  <cp:lastModifiedBy>Allison Lee</cp:lastModifiedBy>
  <cp:revision>5</cp:revision>
  <dcterms:created xsi:type="dcterms:W3CDTF">2016-02-19T00:37:00Z</dcterms:created>
  <dcterms:modified xsi:type="dcterms:W3CDTF">2016-02-19T00:46:00Z</dcterms:modified>
</cp:coreProperties>
</file>