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B" w14:textId="77777777" w:rsidR="00835CF9" w:rsidRDefault="00F903DC">
      <w:pPr>
        <w:widowControl w:val="0"/>
        <w:pBdr>
          <w:top w:val="nil"/>
          <w:left w:val="nil"/>
          <w:bottom w:val="nil"/>
          <w:right w:val="nil"/>
          <w:between w:val="nil"/>
        </w:pBdr>
        <w:ind w:left="38" w:right="33"/>
        <w:rPr>
          <w:b/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>O</w:t>
      </w:r>
      <w:r>
        <w:rPr>
          <w:b/>
          <w:color w:val="000000"/>
          <w:sz w:val="19"/>
          <w:szCs w:val="19"/>
        </w:rPr>
        <w:t xml:space="preserve">VERSIMPLIFYING </w:t>
      </w:r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19"/>
          <w:szCs w:val="19"/>
        </w:rPr>
        <w:t xml:space="preserve">EGAL </w:t>
      </w:r>
      <w:r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19"/>
          <w:szCs w:val="19"/>
        </w:rPr>
        <w:t>EALITIES</w:t>
      </w:r>
      <w:r>
        <w:rPr>
          <w:b/>
          <w:color w:val="000000"/>
          <w:sz w:val="24"/>
          <w:szCs w:val="24"/>
        </w:rPr>
        <w:t>: W</w:t>
      </w:r>
      <w:r>
        <w:rPr>
          <w:b/>
          <w:color w:val="000000"/>
          <w:sz w:val="19"/>
          <w:szCs w:val="19"/>
        </w:rPr>
        <w:t>OMEN</w:t>
      </w:r>
      <w:r>
        <w:rPr>
          <w:b/>
          <w:color w:val="000000"/>
          <w:sz w:val="24"/>
          <w:szCs w:val="24"/>
        </w:rPr>
        <w:t>, B</w:t>
      </w:r>
      <w:r>
        <w:rPr>
          <w:b/>
          <w:color w:val="000000"/>
          <w:sz w:val="19"/>
          <w:szCs w:val="19"/>
        </w:rPr>
        <w:t xml:space="preserve">USINESS AND THE </w:t>
      </w:r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19"/>
          <w:szCs w:val="19"/>
        </w:rPr>
        <w:t xml:space="preserve">AW 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19"/>
          <w:szCs w:val="19"/>
        </w:rPr>
        <w:t xml:space="preserve">NDICATORS AND </w:t>
      </w:r>
    </w:p>
    <w:p w14:paraId="0000000C" w14:textId="77777777" w:rsidR="00835CF9" w:rsidRDefault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1459" w:right="1454"/>
        <w:rPr>
          <w:b/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lastRenderedPageBreak/>
        <w:t>A</w:t>
      </w:r>
      <w:r>
        <w:rPr>
          <w:b/>
          <w:color w:val="000000"/>
          <w:sz w:val="19"/>
          <w:szCs w:val="19"/>
        </w:rPr>
        <w:t xml:space="preserve">SPIRING FOR </w:t>
      </w:r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19"/>
          <w:szCs w:val="19"/>
        </w:rPr>
        <w:t xml:space="preserve">AW </w:t>
      </w:r>
      <w:r>
        <w:rPr>
          <w:b/>
          <w:color w:val="000000"/>
          <w:sz w:val="24"/>
          <w:szCs w:val="24"/>
        </w:rPr>
        <w:t>R</w:t>
      </w:r>
      <w:r>
        <w:rPr>
          <w:b/>
          <w:color w:val="000000"/>
          <w:sz w:val="19"/>
          <w:szCs w:val="19"/>
        </w:rPr>
        <w:t xml:space="preserve">EFORMS BASED ON </w:t>
      </w:r>
      <w:r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19"/>
          <w:szCs w:val="19"/>
        </w:rPr>
        <w:t xml:space="preserve">KEWED </w:t>
      </w:r>
      <w:r>
        <w:rPr>
          <w:b/>
          <w:color w:val="000000"/>
          <w:sz w:val="24"/>
          <w:szCs w:val="24"/>
        </w:rPr>
        <w:t>O</w:t>
      </w:r>
      <w:r>
        <w:rPr>
          <w:b/>
          <w:color w:val="000000"/>
          <w:sz w:val="19"/>
          <w:szCs w:val="19"/>
        </w:rPr>
        <w:t xml:space="preserve">UTCOMES </w:t>
      </w:r>
    </w:p>
    <w:p w14:paraId="0000000D" w14:textId="6C00E122" w:rsidR="00835CF9" w:rsidRDefault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left="3014" w:right="3004"/>
        <w:rPr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4"/>
          <w:szCs w:val="24"/>
        </w:rPr>
        <w:t>B</w:t>
      </w:r>
      <w:r>
        <w:rPr>
          <w:b/>
          <w:color w:val="000000"/>
          <w:sz w:val="19"/>
          <w:szCs w:val="19"/>
        </w:rPr>
        <w:t>Y</w:t>
      </w:r>
      <w:r>
        <w:rPr>
          <w:b/>
          <w:color w:val="000000"/>
          <w:sz w:val="24"/>
          <w:szCs w:val="24"/>
        </w:rPr>
        <w:t>: A</w:t>
      </w:r>
      <w:r>
        <w:rPr>
          <w:b/>
          <w:color w:val="000000"/>
          <w:sz w:val="19"/>
          <w:szCs w:val="19"/>
        </w:rPr>
        <w:t xml:space="preserve">CHALIE </w:t>
      </w:r>
      <w:r>
        <w:rPr>
          <w:b/>
          <w:color w:val="000000"/>
          <w:sz w:val="24"/>
          <w:szCs w:val="24"/>
        </w:rPr>
        <w:t>M. K</w:t>
      </w:r>
      <w:r>
        <w:rPr>
          <w:b/>
          <w:color w:val="000000"/>
          <w:sz w:val="19"/>
          <w:szCs w:val="19"/>
        </w:rPr>
        <w:t>UMARAGE</w:t>
      </w:r>
      <w:r>
        <w:rPr>
          <w:rStyle w:val="FootnoteReference"/>
          <w:b/>
          <w:color w:val="000000"/>
          <w:sz w:val="19"/>
          <w:szCs w:val="19"/>
        </w:rPr>
        <w:footnoteReference w:id="1"/>
      </w:r>
      <w:r>
        <w:rPr>
          <w:b/>
          <w:color w:val="000000"/>
          <w:sz w:val="26"/>
          <w:szCs w:val="26"/>
          <w:vertAlign w:val="superscript"/>
        </w:rPr>
        <w:t xml:space="preserve"> </w:t>
      </w:r>
    </w:p>
    <w:p w14:paraId="0000000E" w14:textId="77777777" w:rsidR="00835CF9" w:rsidRDefault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7953"/>
        <w:rPr>
          <w:b/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19"/>
          <w:szCs w:val="19"/>
        </w:rPr>
        <w:t xml:space="preserve">BSTRACT </w:t>
      </w:r>
    </w:p>
    <w:p w14:paraId="0000001B" w14:textId="7EDBBB67" w:rsidR="00835CF9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right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the mission of preparing gender indicators for ten years, Women, Business and the </w:t>
      </w:r>
      <w:r>
        <w:rPr>
          <w:color w:val="000000"/>
          <w:sz w:val="24"/>
          <w:szCs w:val="24"/>
        </w:rPr>
        <w:t xml:space="preserve">Law (WBL) of the World Bank informs domestic law and policy reforms, research and </w:t>
      </w:r>
      <w:r>
        <w:rPr>
          <w:color w:val="000000"/>
          <w:sz w:val="24"/>
          <w:szCs w:val="24"/>
        </w:rPr>
        <w:t xml:space="preserve">scholarship across the world and influence investment decisions that involve millions of USD. </w:t>
      </w:r>
      <w:r>
        <w:rPr>
          <w:color w:val="000000"/>
          <w:sz w:val="24"/>
          <w:szCs w:val="24"/>
        </w:rPr>
        <w:t xml:space="preserve">WBL assesses legal systems of 189 countries in the world, benchmarking economic </w:t>
      </w:r>
      <w:r>
        <w:rPr>
          <w:color w:val="000000"/>
          <w:sz w:val="24"/>
          <w:szCs w:val="24"/>
        </w:rPr>
        <w:t xml:space="preserve">development as the success or failure of those legal systems. While the project </w:t>
      </w:r>
      <w:r>
        <w:rPr>
          <w:color w:val="000000"/>
          <w:sz w:val="24"/>
          <w:szCs w:val="24"/>
        </w:rPr>
        <w:t xml:space="preserve">has undertaken </w:t>
      </w:r>
      <w:r>
        <w:rPr>
          <w:color w:val="000000"/>
          <w:sz w:val="24"/>
          <w:szCs w:val="24"/>
        </w:rPr>
        <w:t xml:space="preserve">a significantly huge and important task of data gathering and analysis, from a comparative law </w:t>
      </w:r>
      <w:r>
        <w:rPr>
          <w:color w:val="000000"/>
          <w:sz w:val="24"/>
          <w:szCs w:val="24"/>
        </w:rPr>
        <w:t xml:space="preserve">perspective, its methodology and approach to collecting data sets is not without defect. </w:t>
      </w:r>
      <w:r>
        <w:rPr>
          <w:color w:val="000000"/>
          <w:sz w:val="24"/>
          <w:szCs w:val="24"/>
        </w:rPr>
        <w:t xml:space="preserve">Conscious of the importance of the undertaking, this paper advances that the gender indicators </w:t>
      </w:r>
      <w:r>
        <w:rPr>
          <w:color w:val="000000"/>
          <w:sz w:val="24"/>
          <w:szCs w:val="24"/>
        </w:rPr>
        <w:t xml:space="preserve">created by WBL are propounded on an oversimplified version of the legal systems of the </w:t>
      </w:r>
      <w:r>
        <w:rPr>
          <w:color w:val="000000"/>
          <w:sz w:val="24"/>
          <w:szCs w:val="24"/>
        </w:rPr>
        <w:t>countries that are assessed. As such, any assessment or ranking based on</w:t>
      </w:r>
      <w:r>
        <w:rPr>
          <w:color w:val="000000"/>
          <w:sz w:val="24"/>
          <w:szCs w:val="24"/>
        </w:rPr>
        <w:t xml:space="preserve"> such oversimplified </w:t>
      </w:r>
      <w:r>
        <w:rPr>
          <w:color w:val="000000"/>
          <w:sz w:val="24"/>
          <w:szCs w:val="24"/>
        </w:rPr>
        <w:t xml:space="preserve">legal systems could lead to skewed outcomes that produce skewed outcomes, and essentially </w:t>
      </w:r>
      <w:r>
        <w:rPr>
          <w:color w:val="000000"/>
          <w:sz w:val="24"/>
          <w:szCs w:val="24"/>
        </w:rPr>
        <w:t xml:space="preserve">breaks the presumed causal nexus of gender equality and women’s economic empowerment in </w:t>
      </w:r>
      <w:r>
        <w:rPr>
          <w:color w:val="000000"/>
          <w:sz w:val="24"/>
          <w:szCs w:val="24"/>
        </w:rPr>
        <w:t xml:space="preserve">the individual countries examined. The results lead to misdirected law and policy reforms. </w:t>
      </w:r>
    </w:p>
    <w:p w14:paraId="00000024" w14:textId="123D5481" w:rsidR="00835CF9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Adopting the view that, if law reform is the end goal of evaluating and ranking it should </w:t>
      </w:r>
      <w:r>
        <w:rPr>
          <w:color w:val="000000"/>
          <w:sz w:val="24"/>
          <w:szCs w:val="24"/>
        </w:rPr>
        <w:t xml:space="preserve">project the </w:t>
      </w:r>
      <w:r>
        <w:rPr>
          <w:i/>
          <w:color w:val="000000"/>
          <w:sz w:val="24"/>
          <w:szCs w:val="24"/>
        </w:rPr>
        <w:t xml:space="preserve">status quo </w:t>
      </w:r>
      <w:r>
        <w:rPr>
          <w:color w:val="000000"/>
          <w:sz w:val="24"/>
          <w:szCs w:val="24"/>
        </w:rPr>
        <w:t xml:space="preserve">of the legal systems in comparison as closely as possible, the analysis is </w:t>
      </w:r>
      <w:r>
        <w:rPr>
          <w:color w:val="000000"/>
          <w:sz w:val="24"/>
          <w:szCs w:val="24"/>
        </w:rPr>
        <w:t xml:space="preserve">based on exploring three substantive arguments: methodological shortcomings, use of legal </w:t>
      </w:r>
      <w:r>
        <w:rPr>
          <w:color w:val="000000"/>
          <w:sz w:val="24"/>
          <w:szCs w:val="24"/>
        </w:rPr>
        <w:t>experts in the country survey and the ‘one size fits all’ approach. Drawing upon the late</w:t>
      </w:r>
      <w:r>
        <w:rPr>
          <w:color w:val="000000"/>
          <w:sz w:val="24"/>
          <w:szCs w:val="24"/>
        </w:rPr>
        <w:t xml:space="preserve">st </w:t>
      </w:r>
      <w:r>
        <w:rPr>
          <w:color w:val="000000"/>
          <w:sz w:val="24"/>
          <w:szCs w:val="24"/>
        </w:rPr>
        <w:t xml:space="preserve">findings of WBL’s 2018 Report, the paper engages in an assessment of the said trilogy against </w:t>
      </w:r>
      <w:r>
        <w:rPr>
          <w:color w:val="000000"/>
          <w:sz w:val="24"/>
          <w:szCs w:val="24"/>
        </w:rPr>
        <w:t xml:space="preserve">comparative law theory and insights. The analysis is conscious of the prediction that the twenty </w:t>
      </w:r>
      <w:r>
        <w:rPr>
          <w:color w:val="000000"/>
          <w:sz w:val="24"/>
          <w:szCs w:val="24"/>
        </w:rPr>
        <w:t xml:space="preserve">first century will be an era of comparative law. </w:t>
      </w:r>
    </w:p>
    <w:p w14:paraId="00000032" w14:textId="55D57CBA" w:rsidR="00835CF9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right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 the first substantive of methodological shortcomings the paper explores </w:t>
      </w:r>
      <w:r>
        <w:rPr>
          <w:color w:val="000000"/>
          <w:sz w:val="24"/>
          <w:szCs w:val="24"/>
        </w:rPr>
        <w:t xml:space="preserve">reductionism, functionalism and law in books v. law in practice. Case studies from comparative </w:t>
      </w:r>
      <w:r>
        <w:rPr>
          <w:color w:val="000000"/>
          <w:sz w:val="24"/>
          <w:szCs w:val="24"/>
        </w:rPr>
        <w:t xml:space="preserve">jurisdictions exemplify the short comings, and how the assessment of the oversimplified </w:t>
      </w:r>
      <w:r>
        <w:rPr>
          <w:color w:val="000000"/>
          <w:sz w:val="24"/>
          <w:szCs w:val="24"/>
        </w:rPr>
        <w:t xml:space="preserve">version of a legal system cannot remedy prevailing economic discrimination between men and </w:t>
      </w:r>
      <w:r>
        <w:rPr>
          <w:color w:val="000000"/>
          <w:sz w:val="24"/>
          <w:szCs w:val="24"/>
        </w:rPr>
        <w:t xml:space="preserve">women. The second substantive analyses engaging local legal experts by the </w:t>
      </w:r>
      <w:r>
        <w:rPr>
          <w:color w:val="000000"/>
          <w:sz w:val="24"/>
          <w:szCs w:val="24"/>
        </w:rPr>
        <w:t xml:space="preserve">development </w:t>
      </w:r>
      <w:r>
        <w:rPr>
          <w:color w:val="000000"/>
          <w:sz w:val="24"/>
          <w:szCs w:val="24"/>
        </w:rPr>
        <w:t xml:space="preserve">agency. The analysis focuses on selection of experts, under-utilization of expertise and </w:t>
      </w:r>
      <w:r>
        <w:rPr>
          <w:color w:val="000000"/>
          <w:sz w:val="24"/>
          <w:szCs w:val="24"/>
        </w:rPr>
        <w:t xml:space="preserve">prevailing mistrust pervading the data collection and the processing stage. Under the final </w:t>
      </w:r>
      <w:r>
        <w:rPr>
          <w:color w:val="000000"/>
          <w:sz w:val="24"/>
          <w:szCs w:val="24"/>
        </w:rPr>
        <w:t xml:space="preserve">substantive, ‘one size fits all’ approach, the paper presents a critical perspective on gender </w:t>
      </w:r>
      <w:r>
        <w:rPr>
          <w:color w:val="000000"/>
          <w:sz w:val="24"/>
          <w:szCs w:val="24"/>
        </w:rPr>
        <w:t xml:space="preserve">indicators developed by international development agencies with an emphasis on comparative </w:t>
      </w:r>
      <w:r>
        <w:rPr>
          <w:color w:val="000000"/>
          <w:sz w:val="24"/>
          <w:szCs w:val="24"/>
        </w:rPr>
        <w:t>law insights on homeward bias, legal families, and legal pluralism l</w:t>
      </w:r>
      <w:r>
        <w:rPr>
          <w:color w:val="000000"/>
          <w:sz w:val="24"/>
          <w:szCs w:val="24"/>
        </w:rPr>
        <w:t xml:space="preserve">eading to a commentary of </w:t>
      </w:r>
      <w:r>
        <w:rPr>
          <w:color w:val="000000"/>
          <w:sz w:val="24"/>
          <w:szCs w:val="24"/>
        </w:rPr>
        <w:t xml:space="preserve">overcoming the restraints of a comparative legal mind to be receptive of meaningful law </w:t>
      </w:r>
      <w:r>
        <w:rPr>
          <w:color w:val="000000"/>
          <w:sz w:val="24"/>
          <w:szCs w:val="24"/>
        </w:rPr>
        <w:t xml:space="preserve">reform. The underlying logic of the analysis of this paper can be summed as, thinking of the </w:t>
      </w:r>
      <w:r>
        <w:rPr>
          <w:color w:val="000000"/>
          <w:sz w:val="24"/>
          <w:szCs w:val="24"/>
        </w:rPr>
        <w:t xml:space="preserve">relationship between law and markets as a highly iterative process of action and strategic </w:t>
      </w:r>
      <w:r>
        <w:rPr>
          <w:color w:val="000000"/>
          <w:sz w:val="24"/>
          <w:szCs w:val="24"/>
        </w:rPr>
        <w:t xml:space="preserve">reaction rather than a fixed endowment for the economy. </w:t>
      </w:r>
    </w:p>
    <w:p w14:paraId="00000039" w14:textId="1129772E" w:rsidR="00835CF9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ind w:right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paper engages with ‘feminist governance’ to highlight the importance of WBL </w:t>
      </w:r>
      <w:r>
        <w:rPr>
          <w:color w:val="000000"/>
          <w:sz w:val="24"/>
          <w:szCs w:val="24"/>
        </w:rPr>
        <w:t xml:space="preserve">indicators and their potential impact on ‘governance at a distance’. It proposes that successful </w:t>
      </w:r>
      <w:r>
        <w:rPr>
          <w:color w:val="000000"/>
          <w:sz w:val="24"/>
          <w:szCs w:val="24"/>
        </w:rPr>
        <w:t xml:space="preserve">governance reforms would require a wholesome analysis of a legal system, as opposed to a </w:t>
      </w:r>
      <w:r>
        <w:rPr>
          <w:color w:val="000000"/>
          <w:sz w:val="24"/>
          <w:szCs w:val="24"/>
        </w:rPr>
        <w:t>simplified legal model that compromises a State’s ability to transit</w:t>
      </w:r>
      <w:r>
        <w:rPr>
          <w:color w:val="000000"/>
          <w:sz w:val="24"/>
          <w:szCs w:val="24"/>
        </w:rPr>
        <w:t xml:space="preserve">ion into meaningful law </w:t>
      </w:r>
      <w:r>
        <w:rPr>
          <w:color w:val="000000"/>
          <w:sz w:val="24"/>
          <w:szCs w:val="24"/>
        </w:rPr>
        <w:t xml:space="preserve">reform. Premising on the analysis, the paper suggests recommendations for improving the </w:t>
      </w:r>
      <w:r>
        <w:rPr>
          <w:color w:val="000000"/>
          <w:sz w:val="24"/>
          <w:szCs w:val="24"/>
        </w:rPr>
        <w:t xml:space="preserve">indicator generating process of WBL. The recommendations are purely based on a legal </w:t>
      </w:r>
      <w:r>
        <w:rPr>
          <w:color w:val="000000"/>
          <w:sz w:val="24"/>
          <w:szCs w:val="24"/>
        </w:rPr>
        <w:t xml:space="preserve">critique as opposed to a statistical critique on technicalities of the indicators. </w:t>
      </w:r>
    </w:p>
    <w:p w14:paraId="7ECDD9ED" w14:textId="77777777" w:rsidR="00F903DC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40" w14:textId="48E1C018" w:rsidR="00835CF9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Additionally, this paper purports to fill a substantial gap in the comparative law </w:t>
      </w:r>
      <w:r>
        <w:rPr>
          <w:color w:val="000000"/>
          <w:sz w:val="24"/>
          <w:szCs w:val="24"/>
        </w:rPr>
        <w:t>and WBL indicators. There has not been a comparative law-based analysis of the gender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indicators developed by WBL. The paper aims to unpack the underlying realities such as </w:t>
      </w:r>
      <w:r>
        <w:rPr>
          <w:color w:val="000000"/>
          <w:sz w:val="24"/>
          <w:szCs w:val="24"/>
        </w:rPr>
        <w:t xml:space="preserve">culture, diversity and gender stereotypes intertwined with the law, and endorses the view that </w:t>
      </w:r>
      <w:r>
        <w:rPr>
          <w:color w:val="000000"/>
          <w:sz w:val="24"/>
          <w:szCs w:val="24"/>
        </w:rPr>
        <w:t xml:space="preserve">law reform must go much farther than the mere imposing and adoption of the rules. </w:t>
      </w:r>
    </w:p>
    <w:p w14:paraId="1AE6CCC0" w14:textId="192886FD" w:rsidR="00F903DC" w:rsidRPr="00F903DC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1"/>
        <w:ind w:right="4"/>
        <w:rPr>
          <w:color w:val="000000"/>
          <w:sz w:val="24"/>
          <w:szCs w:val="24"/>
        </w:rPr>
      </w:pPr>
      <w:r w:rsidRPr="00F903DC">
        <w:rPr>
          <w:b/>
          <w:color w:val="000000"/>
          <w:sz w:val="24"/>
          <w:szCs w:val="24"/>
        </w:rPr>
        <w:t xml:space="preserve">Keywords: </w:t>
      </w:r>
      <w:r w:rsidRPr="00F903DC">
        <w:rPr>
          <w:color w:val="000000"/>
          <w:sz w:val="24"/>
          <w:szCs w:val="24"/>
        </w:rPr>
        <w:t xml:space="preserve">Legal Systems, Gender Indicators, Women’s Economic </w:t>
      </w:r>
      <w:bookmarkStart w:id="0" w:name="_GoBack"/>
      <w:bookmarkEnd w:id="0"/>
      <w:r w:rsidRPr="00F903DC">
        <w:rPr>
          <w:color w:val="000000"/>
          <w:sz w:val="24"/>
          <w:szCs w:val="24"/>
        </w:rPr>
        <w:t xml:space="preserve">Rights, Development, World Bank </w:t>
      </w:r>
    </w:p>
    <w:p w14:paraId="0FB44449" w14:textId="77777777" w:rsidR="00F903DC" w:rsidRPr="00F903DC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1008"/>
        <w:rPr>
          <w:color w:val="000000"/>
          <w:sz w:val="24"/>
          <w:szCs w:val="24"/>
        </w:rPr>
      </w:pPr>
    </w:p>
    <w:sectPr w:rsidR="00F903DC" w:rsidRPr="00F903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68E7" w14:textId="77777777" w:rsidR="00F903DC" w:rsidRDefault="00F903DC" w:rsidP="00F903DC">
      <w:pPr>
        <w:spacing w:line="240" w:lineRule="auto"/>
      </w:pPr>
      <w:r>
        <w:separator/>
      </w:r>
    </w:p>
  </w:endnote>
  <w:endnote w:type="continuationSeparator" w:id="0">
    <w:p w14:paraId="1FEFFE51" w14:textId="77777777" w:rsidR="00F903DC" w:rsidRDefault="00F903DC" w:rsidP="00F90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9980D" w14:textId="77777777" w:rsidR="00F903DC" w:rsidRDefault="00F903DC" w:rsidP="00F903DC">
      <w:pPr>
        <w:spacing w:line="240" w:lineRule="auto"/>
      </w:pPr>
      <w:r>
        <w:separator/>
      </w:r>
    </w:p>
  </w:footnote>
  <w:footnote w:type="continuationSeparator" w:id="0">
    <w:p w14:paraId="6274D669" w14:textId="77777777" w:rsidR="00F903DC" w:rsidRDefault="00F903DC" w:rsidP="00F903DC">
      <w:pPr>
        <w:spacing w:line="240" w:lineRule="auto"/>
      </w:pPr>
      <w:r>
        <w:continuationSeparator/>
      </w:r>
    </w:p>
  </w:footnote>
  <w:footnote w:id="1">
    <w:p w14:paraId="3ED5C668" w14:textId="77777777" w:rsidR="00F903DC" w:rsidRDefault="00F903DC" w:rsidP="00F903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33"/>
          <w:szCs w:val="33"/>
          <w:vertAlign w:val="subscript"/>
        </w:rPr>
        <w:t xml:space="preserve">LL.M. (American University Washington College of Law), LL.M. (Distinction), (University of Colombo, Sri </w:t>
      </w:r>
      <w:r>
        <w:rPr>
          <w:color w:val="000000"/>
          <w:sz w:val="20"/>
          <w:szCs w:val="20"/>
        </w:rPr>
        <w:t xml:space="preserve">Lanka), LL.B. (University of Colombo, Sri Lanka), Attorney-at-Law of the Supreme Court of Sri Lanka, Fulbright Scholar. </w:t>
      </w:r>
    </w:p>
    <w:p w14:paraId="78C9BFD2" w14:textId="5E27FB05" w:rsidR="00F903DC" w:rsidRPr="00F903DC" w:rsidRDefault="00F903D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F9"/>
    <w:rsid w:val="00835CF9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2F78E-62C1-4900-9977-2BE7D2C3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03D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0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0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565B-B191-40DF-86BD-D6C9D4D7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Mélisandre Shanks, Mlle</dc:creator>
  <cp:lastModifiedBy>Mélisandre Shanks, Mlle</cp:lastModifiedBy>
  <cp:revision>2</cp:revision>
  <dcterms:created xsi:type="dcterms:W3CDTF">2019-04-12T17:10:00Z</dcterms:created>
  <dcterms:modified xsi:type="dcterms:W3CDTF">2019-04-12T17:10:00Z</dcterms:modified>
</cp:coreProperties>
</file>