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75" w:rsidRDefault="00E66A75" w:rsidP="002874B9">
      <w:pPr>
        <w:jc w:val="center"/>
        <w:rPr>
          <w:rFonts w:ascii="Comic Sans MS" w:hAnsi="Comic Sans MS"/>
          <w:sz w:val="20"/>
        </w:rPr>
      </w:pPr>
      <w:r w:rsidRPr="00C201DC">
        <w:rPr>
          <w:rFonts w:ascii="Comic Sans MS" w:hAnsi="Comic Sans MS"/>
          <w:sz w:val="20"/>
        </w:rPr>
        <w:t xml:space="preserve"> Information for AAG Meeting</w:t>
      </w:r>
    </w:p>
    <w:p w:rsidR="00E66A75" w:rsidRPr="00C201DC" w:rsidRDefault="00E66A75" w:rsidP="002874B9">
      <w:pPr>
        <w:jc w:val="center"/>
        <w:rPr>
          <w:rFonts w:ascii="Comic Sans MS" w:hAnsi="Comic Sans MS"/>
          <w:sz w:val="20"/>
        </w:rPr>
      </w:pPr>
      <w:r w:rsidRPr="00C201DC">
        <w:rPr>
          <w:rFonts w:ascii="Comic Sans MS" w:hAnsi="Comic Sans MS"/>
          <w:sz w:val="20"/>
        </w:rPr>
        <w:t>From the Faculty of Arts HR Advisor’s Office</w:t>
      </w:r>
    </w:p>
    <w:p w:rsidR="00E66A75" w:rsidRDefault="00E66A75" w:rsidP="00C71750">
      <w:pPr>
        <w:jc w:val="center"/>
        <w:rPr>
          <w:rFonts w:ascii="Comic Sans MS" w:hAnsi="Comic Sans MS"/>
          <w:sz w:val="20"/>
        </w:rPr>
      </w:pPr>
      <w:r w:rsidRPr="00C201DC">
        <w:rPr>
          <w:rFonts w:ascii="Comic Sans MS" w:hAnsi="Comic Sans MS"/>
          <w:sz w:val="20"/>
        </w:rPr>
        <w:t>January 5, 2010</w:t>
      </w:r>
    </w:p>
    <w:p w:rsidR="00E66A75" w:rsidRPr="00C201DC" w:rsidRDefault="00E66A75" w:rsidP="00C71750">
      <w:pPr>
        <w:jc w:val="center"/>
        <w:rPr>
          <w:rFonts w:ascii="Comic Sans MS" w:hAnsi="Comic Sans MS"/>
          <w:sz w:val="20"/>
        </w:rPr>
      </w:pPr>
      <w:r w:rsidRPr="00C201DC">
        <w:rPr>
          <w:rFonts w:ascii="Comic Sans MS" w:hAnsi="Comic Sans MS"/>
          <w:sz w:val="20"/>
        </w:rPr>
        <w:t>9:30 a.m.</w:t>
      </w:r>
    </w:p>
    <w:p w:rsidR="00E66A75" w:rsidRPr="00C201DC" w:rsidRDefault="00E66A75" w:rsidP="00C71750">
      <w:pPr>
        <w:jc w:val="center"/>
        <w:rPr>
          <w:rFonts w:ascii="Comic Sans MS" w:hAnsi="Comic Sans MS"/>
          <w:sz w:val="20"/>
        </w:rPr>
      </w:pPr>
      <w:r w:rsidRPr="00C201DC">
        <w:rPr>
          <w:rFonts w:ascii="Comic Sans MS" w:hAnsi="Comic Sans MS"/>
          <w:sz w:val="20"/>
        </w:rPr>
        <w:t>Leacock 738</w:t>
      </w:r>
    </w:p>
    <w:tbl>
      <w:tblPr>
        <w:tblW w:w="100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370"/>
        <w:gridCol w:w="1710"/>
      </w:tblGrid>
      <w:tr w:rsidR="00E66A75" w:rsidRPr="0027380A" w:rsidTr="00F0390C">
        <w:tc>
          <w:tcPr>
            <w:tcW w:w="8370" w:type="dxa"/>
          </w:tcPr>
          <w:p w:rsidR="00E66A75" w:rsidRPr="0027380A" w:rsidRDefault="00E66A75" w:rsidP="0027380A">
            <w:pPr>
              <w:spacing w:after="0" w:line="240" w:lineRule="auto"/>
              <w:jc w:val="center"/>
              <w:rPr>
                <w:b/>
                <w:sz w:val="28"/>
                <w:szCs w:val="28"/>
                <w:u w:val="single"/>
              </w:rPr>
            </w:pPr>
            <w:r w:rsidRPr="0027380A">
              <w:rPr>
                <w:b/>
                <w:sz w:val="28"/>
                <w:szCs w:val="28"/>
                <w:u w:val="single"/>
              </w:rPr>
              <w:t>TOPIC</w:t>
            </w:r>
          </w:p>
        </w:tc>
        <w:tc>
          <w:tcPr>
            <w:tcW w:w="1710" w:type="dxa"/>
          </w:tcPr>
          <w:p w:rsidR="00E66A75" w:rsidRPr="0027380A" w:rsidRDefault="00E66A75" w:rsidP="0027380A">
            <w:pPr>
              <w:spacing w:after="0" w:line="240" w:lineRule="auto"/>
              <w:jc w:val="center"/>
              <w:rPr>
                <w:b/>
                <w:sz w:val="28"/>
                <w:szCs w:val="28"/>
                <w:u w:val="single"/>
              </w:rPr>
            </w:pPr>
            <w:r w:rsidRPr="0027380A">
              <w:rPr>
                <w:b/>
                <w:sz w:val="28"/>
                <w:szCs w:val="28"/>
                <w:u w:val="single"/>
              </w:rPr>
              <w:t>PRESENTER</w:t>
            </w:r>
          </w:p>
        </w:tc>
      </w:tr>
      <w:tr w:rsidR="00E66A75" w:rsidRPr="0027380A" w:rsidTr="00F0390C">
        <w:tc>
          <w:tcPr>
            <w:tcW w:w="8370" w:type="dxa"/>
          </w:tcPr>
          <w:p w:rsidR="00E66A75" w:rsidRPr="0027380A" w:rsidRDefault="00E66A75" w:rsidP="0027380A">
            <w:pPr>
              <w:spacing w:after="0" w:line="240" w:lineRule="auto"/>
              <w:jc w:val="center"/>
            </w:pPr>
          </w:p>
        </w:tc>
        <w:tc>
          <w:tcPr>
            <w:tcW w:w="1710" w:type="dxa"/>
          </w:tcPr>
          <w:p w:rsidR="00E66A75" w:rsidRPr="0027380A" w:rsidRDefault="00E66A75" w:rsidP="0027380A">
            <w:pPr>
              <w:spacing w:after="0" w:line="240" w:lineRule="auto"/>
              <w:jc w:val="center"/>
            </w:pPr>
          </w:p>
        </w:tc>
      </w:tr>
      <w:tr w:rsidR="00E66A75" w:rsidRPr="0027380A" w:rsidTr="00F0390C">
        <w:tc>
          <w:tcPr>
            <w:tcW w:w="8370" w:type="dxa"/>
          </w:tcPr>
          <w:p w:rsidR="00E66A75" w:rsidRPr="00A66DE5" w:rsidRDefault="00E66A75" w:rsidP="00516CE1">
            <w:pPr>
              <w:numPr>
                <w:ilvl w:val="0"/>
                <w:numId w:val="10"/>
              </w:numPr>
              <w:spacing w:after="0" w:line="240" w:lineRule="auto"/>
              <w:rPr>
                <w:b/>
              </w:rPr>
            </w:pPr>
            <w:r>
              <w:rPr>
                <w:b/>
              </w:rPr>
              <w:t xml:space="preserve">Vacation – </w:t>
            </w:r>
            <w:r w:rsidRPr="00156DF6">
              <w:t>Information</w:t>
            </w:r>
            <w:r>
              <w:t xml:space="preserve"> Brought Up by Internal Audit </w:t>
            </w:r>
          </w:p>
          <w:p w:rsidR="00E66A75" w:rsidRPr="001B13EA" w:rsidRDefault="00E66A75" w:rsidP="00A66DE5">
            <w:pPr>
              <w:spacing w:after="0" w:line="240" w:lineRule="auto"/>
              <w:ind w:left="720"/>
              <w:rPr>
                <w:b/>
              </w:rPr>
            </w:pPr>
          </w:p>
          <w:p w:rsidR="00E66A75" w:rsidRPr="001B13EA" w:rsidRDefault="00E66A75" w:rsidP="001B13EA">
            <w:pPr>
              <w:numPr>
                <w:ilvl w:val="0"/>
                <w:numId w:val="18"/>
              </w:numPr>
              <w:spacing w:after="0" w:line="240" w:lineRule="auto"/>
              <w:rPr>
                <w:b/>
              </w:rPr>
            </w:pPr>
            <w:r>
              <w:t>Employees taking vacation before It is earned; s</w:t>
            </w:r>
            <w:r w:rsidRPr="00156DF6">
              <w:t>ome on an annual basis.  This should not happen.</w:t>
            </w:r>
            <w:r>
              <w:t xml:space="preserve">  Goes against Collective Agreement or Personnel Polices AND Normes de Travail.</w:t>
            </w:r>
            <w:r w:rsidRPr="00156DF6">
              <w:t xml:space="preserve">  To contact HR Advisor to discuss if exceptional reason.</w:t>
            </w:r>
          </w:p>
          <w:p w:rsidR="00E66A75" w:rsidRPr="001B13EA" w:rsidRDefault="00E66A75" w:rsidP="00A66DE5">
            <w:pPr>
              <w:numPr>
                <w:ilvl w:val="0"/>
                <w:numId w:val="18"/>
              </w:numPr>
              <w:spacing w:after="0" w:line="240" w:lineRule="auto"/>
              <w:rPr>
                <w:b/>
              </w:rPr>
            </w:pPr>
            <w:r>
              <w:t>Employees not taking vacation at all and/or forwarding it to next year; some on an annual basis.  Goes against Collective Agreement or Personnel Polices AND Normes de Travail.</w:t>
            </w:r>
            <w:r w:rsidRPr="00156DF6">
              <w:t xml:space="preserve">  To contact HR Advisor to discuss if exceptional reason.</w:t>
            </w:r>
          </w:p>
          <w:p w:rsidR="00E66A75" w:rsidRPr="008F45A4" w:rsidRDefault="00E66A75" w:rsidP="00A66DE5">
            <w:pPr>
              <w:spacing w:after="0" w:line="240" w:lineRule="auto"/>
              <w:ind w:left="1440"/>
              <w:rPr>
                <w:b/>
              </w:rPr>
            </w:pPr>
          </w:p>
        </w:tc>
        <w:tc>
          <w:tcPr>
            <w:tcW w:w="1710" w:type="dxa"/>
          </w:tcPr>
          <w:p w:rsidR="00E66A75" w:rsidRPr="0027380A" w:rsidRDefault="00E66A75" w:rsidP="00FE2948">
            <w:pPr>
              <w:spacing w:after="0" w:line="240" w:lineRule="auto"/>
            </w:pPr>
            <w:r>
              <w:t>kathy</w:t>
            </w:r>
          </w:p>
        </w:tc>
      </w:tr>
      <w:tr w:rsidR="00E66A75" w:rsidRPr="0027380A" w:rsidTr="00F0390C">
        <w:tc>
          <w:tcPr>
            <w:tcW w:w="8370" w:type="dxa"/>
          </w:tcPr>
          <w:p w:rsidR="00E66A75" w:rsidRDefault="00E66A75" w:rsidP="008F45A4">
            <w:pPr>
              <w:spacing w:after="0" w:line="240" w:lineRule="auto"/>
              <w:rPr>
                <w:b/>
              </w:rPr>
            </w:pPr>
          </w:p>
        </w:tc>
        <w:tc>
          <w:tcPr>
            <w:tcW w:w="1710" w:type="dxa"/>
          </w:tcPr>
          <w:p w:rsidR="00E66A75" w:rsidRDefault="00E66A75" w:rsidP="0027380A">
            <w:pPr>
              <w:spacing w:after="0" w:line="240" w:lineRule="auto"/>
              <w:jc w:val="center"/>
            </w:pPr>
          </w:p>
        </w:tc>
      </w:tr>
      <w:tr w:rsidR="00E66A75" w:rsidRPr="0027380A" w:rsidTr="00F0390C">
        <w:tc>
          <w:tcPr>
            <w:tcW w:w="8370" w:type="dxa"/>
          </w:tcPr>
          <w:p w:rsidR="00E66A75" w:rsidRDefault="00E66A75" w:rsidP="009A2161">
            <w:pPr>
              <w:numPr>
                <w:ilvl w:val="0"/>
                <w:numId w:val="17"/>
              </w:numPr>
              <w:spacing w:after="0" w:line="240" w:lineRule="auto"/>
              <w:rPr>
                <w:b/>
              </w:rPr>
            </w:pPr>
            <w:r>
              <w:rPr>
                <w:b/>
              </w:rPr>
              <w:t xml:space="preserve"> Article 28.06 in Collective Agreement</w:t>
            </w:r>
          </w:p>
          <w:p w:rsidR="00E66A75" w:rsidRPr="00156DF6" w:rsidRDefault="00E66A75" w:rsidP="009A2161">
            <w:pPr>
              <w:spacing w:after="0" w:line="240" w:lineRule="auto"/>
              <w:ind w:left="1080"/>
            </w:pPr>
            <w:r w:rsidRPr="00156DF6">
              <w:t xml:space="preserve">The reference year for vacation purposes is from June 1 to May 31.  Vacation earned by an employee during a reference year shall be vested in the employee as </w:t>
            </w:r>
            <w:r>
              <w:t>of the end of that reference yea</w:t>
            </w:r>
            <w:r w:rsidRPr="00156DF6">
              <w:t xml:space="preserve">r and </w:t>
            </w:r>
            <w:r w:rsidRPr="00156DF6">
              <w:rPr>
                <w:u w:val="single"/>
              </w:rPr>
              <w:t>may not be taken prior to the first (1</w:t>
            </w:r>
            <w:r w:rsidRPr="00156DF6">
              <w:rPr>
                <w:u w:val="single"/>
                <w:vertAlign w:val="superscript"/>
              </w:rPr>
              <w:t>st</w:t>
            </w:r>
            <w:r w:rsidRPr="00156DF6">
              <w:rPr>
                <w:u w:val="single"/>
              </w:rPr>
              <w:t xml:space="preserve">) day of the following reference year, </w:t>
            </w:r>
            <w:r w:rsidRPr="00156DF6">
              <w:t xml:space="preserve">except for sessional employees who must take vacation </w:t>
            </w:r>
            <w:r>
              <w:t>in the year in which it is vested.</w:t>
            </w:r>
          </w:p>
          <w:p w:rsidR="00E66A75" w:rsidRPr="00442231" w:rsidRDefault="00E66A75" w:rsidP="009A2161">
            <w:pPr>
              <w:spacing w:after="0" w:line="240" w:lineRule="auto"/>
              <w:rPr>
                <w:b/>
              </w:rPr>
            </w:pPr>
          </w:p>
        </w:tc>
        <w:tc>
          <w:tcPr>
            <w:tcW w:w="1710" w:type="dxa"/>
          </w:tcPr>
          <w:p w:rsidR="00E66A75" w:rsidRDefault="00E66A75" w:rsidP="0027380A">
            <w:pPr>
              <w:spacing w:after="0" w:line="240" w:lineRule="auto"/>
              <w:jc w:val="center"/>
            </w:pPr>
          </w:p>
        </w:tc>
      </w:tr>
      <w:tr w:rsidR="00E66A75" w:rsidRPr="0027380A" w:rsidTr="00F0390C">
        <w:tc>
          <w:tcPr>
            <w:tcW w:w="8370" w:type="dxa"/>
          </w:tcPr>
          <w:p w:rsidR="00E66A75" w:rsidRDefault="00E66A75" w:rsidP="007232BD">
            <w:pPr>
              <w:numPr>
                <w:ilvl w:val="0"/>
                <w:numId w:val="17"/>
              </w:numPr>
              <w:spacing w:after="0" w:line="240" w:lineRule="auto"/>
              <w:rPr>
                <w:b/>
              </w:rPr>
            </w:pPr>
            <w:r>
              <w:rPr>
                <w:b/>
              </w:rPr>
              <w:t xml:space="preserve"> Administrative Handbook – Personnel Policies</w:t>
            </w:r>
          </w:p>
        </w:tc>
        <w:tc>
          <w:tcPr>
            <w:tcW w:w="1710" w:type="dxa"/>
          </w:tcPr>
          <w:p w:rsidR="00E66A75" w:rsidRDefault="00E66A75" w:rsidP="0027380A">
            <w:pPr>
              <w:spacing w:after="0" w:line="240" w:lineRule="auto"/>
              <w:jc w:val="center"/>
            </w:pPr>
          </w:p>
        </w:tc>
      </w:tr>
      <w:tr w:rsidR="00E66A75" w:rsidRPr="0027380A" w:rsidTr="00F0390C">
        <w:tc>
          <w:tcPr>
            <w:tcW w:w="8370" w:type="dxa"/>
          </w:tcPr>
          <w:p w:rsidR="00E66A75" w:rsidRPr="00265B49" w:rsidRDefault="00E66A75" w:rsidP="007232BD">
            <w:pPr>
              <w:pStyle w:val="Heading2"/>
              <w:rPr>
                <w:rFonts w:ascii="Calibri" w:hAnsi="Calibri"/>
                <w:sz w:val="22"/>
              </w:rPr>
            </w:pPr>
            <w:r w:rsidRPr="00265B49">
              <w:rPr>
                <w:rFonts w:ascii="Calibri" w:hAnsi="Calibri"/>
                <w:b w:val="0"/>
                <w:sz w:val="22"/>
              </w:rPr>
              <w:t xml:space="preserve">       </w:t>
            </w:r>
            <w:r>
              <w:rPr>
                <w:rFonts w:ascii="Calibri" w:hAnsi="Calibri"/>
                <w:b w:val="0"/>
                <w:sz w:val="22"/>
              </w:rPr>
              <w:t xml:space="preserve">               </w:t>
            </w:r>
            <w:r w:rsidRPr="00265B49">
              <w:rPr>
                <w:rFonts w:ascii="Calibri" w:hAnsi="Calibri"/>
                <w:b w:val="0"/>
                <w:sz w:val="22"/>
              </w:rPr>
              <w:t xml:space="preserve"> </w:t>
            </w:r>
            <w:r w:rsidRPr="00265B49">
              <w:rPr>
                <w:rFonts w:ascii="Calibri" w:hAnsi="Calibri"/>
                <w:sz w:val="22"/>
              </w:rPr>
              <w:t xml:space="preserve">5. Administrative Procedures </w:t>
            </w:r>
          </w:p>
          <w:p w:rsidR="00E66A75" w:rsidRPr="007232BD" w:rsidRDefault="00E66A75" w:rsidP="00265B49">
            <w:pPr>
              <w:spacing w:before="100" w:beforeAutospacing="1" w:after="100" w:afterAutospacing="1" w:line="240" w:lineRule="auto"/>
              <w:ind w:left="1440"/>
              <w:rPr>
                <w:szCs w:val="24"/>
              </w:rPr>
            </w:pPr>
            <w:r w:rsidRPr="00265B49">
              <w:rPr>
                <w:b/>
                <w:bCs/>
                <w:szCs w:val="24"/>
              </w:rPr>
              <w:t>5.1</w:t>
            </w:r>
            <w:r w:rsidRPr="007232BD">
              <w:rPr>
                <w:szCs w:val="24"/>
              </w:rPr>
              <w:t xml:space="preserve"> The reference year for vacation purposes shall run from June 1 to May 31. Vacation earned by an employee during a reference year shall be vested in the employee as of the end of that reference year and may not be taken by the employee prior to the first day of the following reference year. </w:t>
            </w:r>
          </w:p>
          <w:p w:rsidR="00E66A75" w:rsidRPr="007232BD" w:rsidRDefault="00E66A75" w:rsidP="00265B49">
            <w:pPr>
              <w:spacing w:before="100" w:beforeAutospacing="1" w:after="100" w:afterAutospacing="1" w:line="240" w:lineRule="auto"/>
              <w:ind w:left="1440"/>
              <w:rPr>
                <w:szCs w:val="24"/>
              </w:rPr>
            </w:pPr>
            <w:r w:rsidRPr="00265B49">
              <w:rPr>
                <w:b/>
                <w:bCs/>
                <w:szCs w:val="24"/>
              </w:rPr>
              <w:t>5.2</w:t>
            </w:r>
            <w:r w:rsidRPr="007232BD">
              <w:rPr>
                <w:szCs w:val="24"/>
              </w:rPr>
              <w:t xml:space="preserve"> Pursuant to the </w:t>
            </w:r>
            <w:r w:rsidRPr="00265B49">
              <w:rPr>
                <w:i/>
                <w:iCs/>
                <w:szCs w:val="24"/>
              </w:rPr>
              <w:t>Labour Standards Act of the Province of Quebec</w:t>
            </w:r>
            <w:r w:rsidRPr="007232BD">
              <w:rPr>
                <w:szCs w:val="24"/>
              </w:rPr>
              <w:t xml:space="preserve">, the vacation vested in an employee must be taken in full within twelve (12) months following the end of the reference year in which it is earned, and cannot be replaced by a compensatory indemnity whether at the request of the employee or the University. </w:t>
            </w:r>
            <w:r w:rsidRPr="00156DF6">
              <w:rPr>
                <w:b/>
              </w:rPr>
              <w:t>To contact HR Advisor to discuss if exceptional reason</w:t>
            </w:r>
            <w:r w:rsidRPr="00156DF6">
              <w:t>.</w:t>
            </w:r>
          </w:p>
          <w:p w:rsidR="00E66A75" w:rsidRPr="007232BD" w:rsidRDefault="00E66A75" w:rsidP="009A2161">
            <w:pPr>
              <w:spacing w:after="0" w:line="240" w:lineRule="auto"/>
              <w:ind w:left="720"/>
              <w:rPr>
                <w:b/>
              </w:rPr>
            </w:pPr>
          </w:p>
        </w:tc>
        <w:tc>
          <w:tcPr>
            <w:tcW w:w="1710" w:type="dxa"/>
          </w:tcPr>
          <w:p w:rsidR="00E66A75" w:rsidRDefault="00E66A75" w:rsidP="0027380A">
            <w:pPr>
              <w:spacing w:after="0" w:line="240" w:lineRule="auto"/>
              <w:jc w:val="center"/>
            </w:pPr>
          </w:p>
        </w:tc>
      </w:tr>
      <w:tr w:rsidR="00E66A75" w:rsidRPr="0027380A" w:rsidTr="00F0390C">
        <w:tc>
          <w:tcPr>
            <w:tcW w:w="8370" w:type="dxa"/>
          </w:tcPr>
          <w:p w:rsidR="00E66A75" w:rsidRDefault="00E66A75" w:rsidP="008F45A4">
            <w:pPr>
              <w:spacing w:after="0" w:line="240" w:lineRule="auto"/>
              <w:rPr>
                <w:b/>
              </w:rPr>
            </w:pPr>
          </w:p>
        </w:tc>
        <w:tc>
          <w:tcPr>
            <w:tcW w:w="1710" w:type="dxa"/>
          </w:tcPr>
          <w:p w:rsidR="00E66A75" w:rsidRDefault="00E66A75" w:rsidP="0027380A">
            <w:pPr>
              <w:spacing w:after="0" w:line="240" w:lineRule="auto"/>
              <w:jc w:val="center"/>
            </w:pPr>
          </w:p>
        </w:tc>
      </w:tr>
      <w:tr w:rsidR="00E66A75" w:rsidRPr="0027380A" w:rsidTr="00F0390C">
        <w:tc>
          <w:tcPr>
            <w:tcW w:w="8370" w:type="dxa"/>
          </w:tcPr>
          <w:p w:rsidR="00E66A75" w:rsidRDefault="00E66A75" w:rsidP="008F45A4">
            <w:pPr>
              <w:spacing w:after="0" w:line="240" w:lineRule="auto"/>
              <w:rPr>
                <w:b/>
              </w:rPr>
            </w:pPr>
            <w:r>
              <w:rPr>
                <w:b/>
              </w:rPr>
              <w:t>Munaca – lunch Period</w:t>
            </w:r>
          </w:p>
          <w:p w:rsidR="00E66A75" w:rsidRDefault="00E66A75" w:rsidP="008F45A4">
            <w:pPr>
              <w:spacing w:after="0" w:line="240" w:lineRule="auto"/>
              <w:rPr>
                <w:b/>
              </w:rPr>
            </w:pPr>
          </w:p>
          <w:p w:rsidR="00E66A75" w:rsidRPr="00C201DC" w:rsidRDefault="00E66A75" w:rsidP="0019228F">
            <w:pPr>
              <w:autoSpaceDE w:val="0"/>
              <w:autoSpaceDN w:val="0"/>
              <w:adjustRightInd w:val="0"/>
              <w:rPr>
                <w:rFonts w:cs="Arial"/>
              </w:rPr>
            </w:pPr>
            <w:r w:rsidRPr="003E7CA2">
              <w:rPr>
                <w:rFonts w:cs="Arial"/>
                <w:b/>
              </w:rPr>
              <w:t>Article 20.01 – Hours of Work -</w:t>
            </w:r>
            <w:r>
              <w:rPr>
                <w:rFonts w:cs="Arial"/>
              </w:rPr>
              <w:t xml:space="preserve"> </w:t>
            </w:r>
            <w:r w:rsidRPr="00C201DC">
              <w:rPr>
                <w:rFonts w:cs="Arial"/>
              </w:rPr>
              <w:t>the daily schedule of hours includes an unpaid lunch period of one and a quarter (1.25) hours per day.</w:t>
            </w:r>
          </w:p>
          <w:p w:rsidR="00E66A75" w:rsidRPr="00C201DC" w:rsidRDefault="00E66A75" w:rsidP="0019228F">
            <w:pPr>
              <w:autoSpaceDE w:val="0"/>
              <w:autoSpaceDN w:val="0"/>
              <w:adjustRightInd w:val="0"/>
              <w:rPr>
                <w:rFonts w:cs="Arial"/>
              </w:rPr>
            </w:pPr>
            <w:r w:rsidRPr="00C201DC">
              <w:rPr>
                <w:rFonts w:cs="Arial"/>
              </w:rPr>
              <w:t>However, as per Article 21.03, the method of scheduling etc. shall be determined by the management of each department or faculty. </w:t>
            </w:r>
          </w:p>
          <w:p w:rsidR="00E66A75" w:rsidRPr="00A76125" w:rsidRDefault="00E66A75" w:rsidP="002758BC">
            <w:pPr>
              <w:autoSpaceDE w:val="0"/>
              <w:autoSpaceDN w:val="0"/>
              <w:adjustRightInd w:val="0"/>
              <w:rPr>
                <w:b/>
              </w:rPr>
            </w:pPr>
            <w:r w:rsidRPr="00C201DC">
              <w:rPr>
                <w:rFonts w:cs="Arial"/>
              </w:rPr>
              <w:t xml:space="preserve">Some Faculties follow it by the book.  The Faculty of Arts in general goes with 1 ½ lunch (90 minutes); no breaks, unless an employee does want the </w:t>
            </w:r>
            <w:r>
              <w:rPr>
                <w:rFonts w:cs="Arial"/>
              </w:rPr>
              <w:t xml:space="preserve">other 15 minute rest period.  </w:t>
            </w:r>
            <w:r w:rsidRPr="00C201DC">
              <w:rPr>
                <w:rFonts w:cs="Arial"/>
              </w:rPr>
              <w:t>Historically, a lot of employees like the 90 minute lunch, particularly if taking staff fitness courses or the lunch-time French courses, or even for doctor’s appointments</w:t>
            </w:r>
            <w:r>
              <w:rPr>
                <w:rFonts w:ascii="Arial" w:hAnsi="Arial" w:cs="Arial"/>
                <w:sz w:val="24"/>
                <w:szCs w:val="24"/>
              </w:rPr>
              <w:t xml:space="preserve">.  </w:t>
            </w:r>
          </w:p>
        </w:tc>
        <w:tc>
          <w:tcPr>
            <w:tcW w:w="1710" w:type="dxa"/>
          </w:tcPr>
          <w:p w:rsidR="00E66A75" w:rsidRDefault="00E66A75" w:rsidP="0027380A">
            <w:pPr>
              <w:spacing w:after="0" w:line="240" w:lineRule="auto"/>
              <w:jc w:val="center"/>
            </w:pPr>
          </w:p>
        </w:tc>
      </w:tr>
      <w:tr w:rsidR="00E66A75" w:rsidRPr="0027380A" w:rsidTr="00F0390C">
        <w:tc>
          <w:tcPr>
            <w:tcW w:w="8370" w:type="dxa"/>
          </w:tcPr>
          <w:p w:rsidR="00E66A75" w:rsidRPr="00F32B57" w:rsidRDefault="00E66A75" w:rsidP="008F45A4">
            <w:pPr>
              <w:spacing w:after="0" w:line="240" w:lineRule="auto"/>
            </w:pPr>
          </w:p>
        </w:tc>
        <w:tc>
          <w:tcPr>
            <w:tcW w:w="1710" w:type="dxa"/>
          </w:tcPr>
          <w:p w:rsidR="00E66A75" w:rsidRDefault="00E66A75" w:rsidP="0027380A">
            <w:pPr>
              <w:spacing w:after="0" w:line="240" w:lineRule="auto"/>
              <w:jc w:val="center"/>
            </w:pPr>
          </w:p>
        </w:tc>
      </w:tr>
      <w:tr w:rsidR="00E66A75" w:rsidRPr="0027380A" w:rsidTr="00F0390C">
        <w:tc>
          <w:tcPr>
            <w:tcW w:w="8370" w:type="dxa"/>
          </w:tcPr>
          <w:p w:rsidR="00E66A75" w:rsidRDefault="00E66A75" w:rsidP="008F45A4">
            <w:pPr>
              <w:spacing w:after="0" w:line="240" w:lineRule="auto"/>
              <w:rPr>
                <w:b/>
              </w:rPr>
            </w:pPr>
            <w:r>
              <w:rPr>
                <w:b/>
              </w:rPr>
              <w:t>Munaca - Breaks</w:t>
            </w:r>
          </w:p>
        </w:tc>
        <w:tc>
          <w:tcPr>
            <w:tcW w:w="1710" w:type="dxa"/>
          </w:tcPr>
          <w:p w:rsidR="00E66A75" w:rsidRDefault="00E66A75" w:rsidP="0027380A">
            <w:pPr>
              <w:spacing w:after="0" w:line="240" w:lineRule="auto"/>
              <w:jc w:val="center"/>
            </w:pPr>
          </w:p>
        </w:tc>
      </w:tr>
      <w:tr w:rsidR="00E66A75" w:rsidRPr="0027380A" w:rsidTr="00F0390C">
        <w:tc>
          <w:tcPr>
            <w:tcW w:w="8370" w:type="dxa"/>
          </w:tcPr>
          <w:p w:rsidR="00E66A75" w:rsidRDefault="00E66A75" w:rsidP="009A2161">
            <w:pPr>
              <w:spacing w:after="0" w:line="240" w:lineRule="auto"/>
              <w:ind w:left="720"/>
              <w:rPr>
                <w:b/>
              </w:rPr>
            </w:pPr>
          </w:p>
        </w:tc>
        <w:tc>
          <w:tcPr>
            <w:tcW w:w="1710" w:type="dxa"/>
          </w:tcPr>
          <w:p w:rsidR="00E66A75" w:rsidRDefault="00E66A75" w:rsidP="0027380A">
            <w:pPr>
              <w:spacing w:after="0" w:line="240" w:lineRule="auto"/>
              <w:jc w:val="center"/>
            </w:pPr>
          </w:p>
        </w:tc>
      </w:tr>
      <w:tr w:rsidR="00E66A75" w:rsidRPr="0027380A" w:rsidTr="00F0390C">
        <w:tc>
          <w:tcPr>
            <w:tcW w:w="8370" w:type="dxa"/>
          </w:tcPr>
          <w:p w:rsidR="00E66A75" w:rsidRPr="00692FA8" w:rsidRDefault="00E66A75" w:rsidP="0019228F">
            <w:pPr>
              <w:autoSpaceDE w:val="0"/>
              <w:autoSpaceDN w:val="0"/>
              <w:adjustRightInd w:val="0"/>
              <w:rPr>
                <w:rFonts w:cs="Arial"/>
              </w:rPr>
            </w:pPr>
            <w:r w:rsidRPr="003E7CA2">
              <w:rPr>
                <w:rFonts w:cs="Arial"/>
                <w:b/>
              </w:rPr>
              <w:t>Article 21.01 – Rest Periods</w:t>
            </w:r>
            <w:r w:rsidRPr="00692FA8">
              <w:rPr>
                <w:rFonts w:cs="Arial"/>
              </w:rPr>
              <w:t xml:space="preserve"> – all employees may take one (1) fifteen (15) minute rest period per complete continuous regular half-day of work, without loss of salary.  That would mean if an employee works 6.75 hours a day, the employee is entitled to two (2) fifteen (15) minute rest periods.</w:t>
            </w:r>
          </w:p>
          <w:p w:rsidR="00E66A75" w:rsidRDefault="00E66A75" w:rsidP="0019228F">
            <w:pPr>
              <w:autoSpaceDE w:val="0"/>
              <w:autoSpaceDN w:val="0"/>
              <w:adjustRightInd w:val="0"/>
              <w:rPr>
                <w:rFonts w:ascii="Arial" w:hAnsi="Arial" w:cs="Arial"/>
                <w:sz w:val="24"/>
                <w:szCs w:val="24"/>
              </w:rPr>
            </w:pPr>
          </w:p>
          <w:p w:rsidR="00E66A75" w:rsidRDefault="00E66A75" w:rsidP="00516CE1">
            <w:pPr>
              <w:spacing w:after="0" w:line="240" w:lineRule="auto"/>
              <w:ind w:left="720"/>
              <w:rPr>
                <w:b/>
              </w:rPr>
            </w:pPr>
          </w:p>
        </w:tc>
        <w:tc>
          <w:tcPr>
            <w:tcW w:w="1710" w:type="dxa"/>
          </w:tcPr>
          <w:p w:rsidR="00E66A75" w:rsidRDefault="00E66A75" w:rsidP="0027380A">
            <w:pPr>
              <w:spacing w:after="0" w:line="240" w:lineRule="auto"/>
              <w:jc w:val="center"/>
            </w:pPr>
          </w:p>
        </w:tc>
      </w:tr>
      <w:tr w:rsidR="00E66A75" w:rsidRPr="0027380A" w:rsidTr="00F0390C">
        <w:tc>
          <w:tcPr>
            <w:tcW w:w="8370" w:type="dxa"/>
          </w:tcPr>
          <w:p w:rsidR="00E66A75" w:rsidRPr="00F32B57" w:rsidRDefault="00E66A75" w:rsidP="00516CE1">
            <w:pPr>
              <w:spacing w:after="0" w:line="240" w:lineRule="auto"/>
            </w:pPr>
          </w:p>
        </w:tc>
        <w:tc>
          <w:tcPr>
            <w:tcW w:w="1710" w:type="dxa"/>
          </w:tcPr>
          <w:p w:rsidR="00E66A75" w:rsidRDefault="00E66A75" w:rsidP="0027380A">
            <w:pPr>
              <w:spacing w:after="0" w:line="240" w:lineRule="auto"/>
              <w:jc w:val="center"/>
            </w:pPr>
          </w:p>
        </w:tc>
      </w:tr>
    </w:tbl>
    <w:p w:rsidR="00E66A75" w:rsidRDefault="00E66A75" w:rsidP="00F0390C">
      <w:pPr>
        <w:jc w:val="center"/>
      </w:pPr>
    </w:p>
    <w:sectPr w:rsidR="00E66A75" w:rsidSect="00DF79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406F"/>
    <w:multiLevelType w:val="hybridMultilevel"/>
    <w:tmpl w:val="414A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25C7F"/>
    <w:multiLevelType w:val="hybridMultilevel"/>
    <w:tmpl w:val="6518AD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C51E6D"/>
    <w:multiLevelType w:val="hybridMultilevel"/>
    <w:tmpl w:val="D798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845F0"/>
    <w:multiLevelType w:val="hybridMultilevel"/>
    <w:tmpl w:val="AC6A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3106D"/>
    <w:multiLevelType w:val="hybridMultilevel"/>
    <w:tmpl w:val="B17C6E8C"/>
    <w:lvl w:ilvl="0" w:tplc="0C289EA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240F6F"/>
    <w:multiLevelType w:val="hybridMultilevel"/>
    <w:tmpl w:val="02164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01F11"/>
    <w:multiLevelType w:val="hybridMultilevel"/>
    <w:tmpl w:val="FF586B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40F6305"/>
    <w:multiLevelType w:val="hybridMultilevel"/>
    <w:tmpl w:val="FE1C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9779F"/>
    <w:multiLevelType w:val="hybridMultilevel"/>
    <w:tmpl w:val="CD64F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37611F"/>
    <w:multiLevelType w:val="hybridMultilevel"/>
    <w:tmpl w:val="FBB88200"/>
    <w:lvl w:ilvl="0" w:tplc="49A810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48442F72"/>
    <w:multiLevelType w:val="hybridMultilevel"/>
    <w:tmpl w:val="E91098F8"/>
    <w:lvl w:ilvl="0" w:tplc="C8F8722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D6A1693"/>
    <w:multiLevelType w:val="hybridMultilevel"/>
    <w:tmpl w:val="6518AD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48B3086"/>
    <w:multiLevelType w:val="hybridMultilevel"/>
    <w:tmpl w:val="9178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980E72"/>
    <w:multiLevelType w:val="hybridMultilevel"/>
    <w:tmpl w:val="AE62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1A21E5"/>
    <w:multiLevelType w:val="hybridMultilevel"/>
    <w:tmpl w:val="2AC661E0"/>
    <w:lvl w:ilvl="0" w:tplc="0C289EA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081ECC"/>
    <w:multiLevelType w:val="hybridMultilevel"/>
    <w:tmpl w:val="7062CE00"/>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E818DF"/>
    <w:multiLevelType w:val="hybridMultilevel"/>
    <w:tmpl w:val="D6E8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14"/>
  </w:num>
  <w:num w:numId="5">
    <w:abstractNumId w:val="4"/>
  </w:num>
  <w:num w:numId="6">
    <w:abstractNumId w:val="5"/>
  </w:num>
  <w:num w:numId="7">
    <w:abstractNumId w:val="0"/>
  </w:num>
  <w:num w:numId="8">
    <w:abstractNumId w:val="16"/>
  </w:num>
  <w:num w:numId="9">
    <w:abstractNumId w:val="13"/>
  </w:num>
  <w:num w:numId="10">
    <w:abstractNumId w:val="6"/>
  </w:num>
  <w:num w:numId="11">
    <w:abstractNumId w:val="2"/>
  </w:num>
  <w:num w:numId="12">
    <w:abstractNumId w:val="7"/>
  </w:num>
  <w:num w:numId="13">
    <w:abstractNumId w:val="17"/>
  </w:num>
  <w:num w:numId="14">
    <w:abstractNumId w:val="12"/>
  </w:num>
  <w:num w:numId="15">
    <w:abstractNumId w:val="3"/>
  </w:num>
  <w:num w:numId="16">
    <w:abstractNumId w:val="15"/>
  </w:num>
  <w:num w:numId="17">
    <w:abstractNumId w:val="1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3B63"/>
    <w:rsid w:val="00032CFF"/>
    <w:rsid w:val="00083BAB"/>
    <w:rsid w:val="000A5E00"/>
    <w:rsid w:val="000C198F"/>
    <w:rsid w:val="000C2AFD"/>
    <w:rsid w:val="000D56E6"/>
    <w:rsid w:val="000D5D99"/>
    <w:rsid w:val="00102AE6"/>
    <w:rsid w:val="00126E38"/>
    <w:rsid w:val="00143DA0"/>
    <w:rsid w:val="001554C7"/>
    <w:rsid w:val="00156DF6"/>
    <w:rsid w:val="0016206E"/>
    <w:rsid w:val="001653B8"/>
    <w:rsid w:val="0016672C"/>
    <w:rsid w:val="00174A53"/>
    <w:rsid w:val="0018429F"/>
    <w:rsid w:val="0019228F"/>
    <w:rsid w:val="001B13EA"/>
    <w:rsid w:val="001E0B51"/>
    <w:rsid w:val="00242B99"/>
    <w:rsid w:val="00254C9B"/>
    <w:rsid w:val="002639B2"/>
    <w:rsid w:val="00265B49"/>
    <w:rsid w:val="0027380A"/>
    <w:rsid w:val="002758BC"/>
    <w:rsid w:val="002874B9"/>
    <w:rsid w:val="002A293C"/>
    <w:rsid w:val="002A7144"/>
    <w:rsid w:val="002D50C9"/>
    <w:rsid w:val="002E0766"/>
    <w:rsid w:val="002E4670"/>
    <w:rsid w:val="0031741F"/>
    <w:rsid w:val="0032642C"/>
    <w:rsid w:val="00355B55"/>
    <w:rsid w:val="00362C81"/>
    <w:rsid w:val="0038326C"/>
    <w:rsid w:val="003A51FB"/>
    <w:rsid w:val="003C33E2"/>
    <w:rsid w:val="003D0492"/>
    <w:rsid w:val="003D0668"/>
    <w:rsid w:val="003D27FC"/>
    <w:rsid w:val="003E6AAC"/>
    <w:rsid w:val="003E7CA2"/>
    <w:rsid w:val="00403AE6"/>
    <w:rsid w:val="0041367A"/>
    <w:rsid w:val="0042322C"/>
    <w:rsid w:val="00426038"/>
    <w:rsid w:val="00442231"/>
    <w:rsid w:val="0047752A"/>
    <w:rsid w:val="004A3D24"/>
    <w:rsid w:val="004F0D40"/>
    <w:rsid w:val="005110CE"/>
    <w:rsid w:val="00516CE1"/>
    <w:rsid w:val="0053600E"/>
    <w:rsid w:val="00560701"/>
    <w:rsid w:val="005745A5"/>
    <w:rsid w:val="00594BD1"/>
    <w:rsid w:val="005B3700"/>
    <w:rsid w:val="005C7BF1"/>
    <w:rsid w:val="005D2A10"/>
    <w:rsid w:val="00654682"/>
    <w:rsid w:val="00692FA8"/>
    <w:rsid w:val="00696068"/>
    <w:rsid w:val="006B4188"/>
    <w:rsid w:val="00705B9B"/>
    <w:rsid w:val="007232BD"/>
    <w:rsid w:val="00730145"/>
    <w:rsid w:val="007A383B"/>
    <w:rsid w:val="007B6DC6"/>
    <w:rsid w:val="007D2422"/>
    <w:rsid w:val="007E66BE"/>
    <w:rsid w:val="0087188C"/>
    <w:rsid w:val="00876649"/>
    <w:rsid w:val="0087699A"/>
    <w:rsid w:val="008F1B6C"/>
    <w:rsid w:val="008F45A4"/>
    <w:rsid w:val="00973880"/>
    <w:rsid w:val="00982B56"/>
    <w:rsid w:val="009A2161"/>
    <w:rsid w:val="009C5FCF"/>
    <w:rsid w:val="009D6D4A"/>
    <w:rsid w:val="009E57D5"/>
    <w:rsid w:val="009E6B36"/>
    <w:rsid w:val="009F3B63"/>
    <w:rsid w:val="00A03938"/>
    <w:rsid w:val="00A47AFF"/>
    <w:rsid w:val="00A63293"/>
    <w:rsid w:val="00A66DE5"/>
    <w:rsid w:val="00A76125"/>
    <w:rsid w:val="00A81CDF"/>
    <w:rsid w:val="00AA4910"/>
    <w:rsid w:val="00AC1525"/>
    <w:rsid w:val="00AE31E7"/>
    <w:rsid w:val="00B26AD6"/>
    <w:rsid w:val="00B35BDF"/>
    <w:rsid w:val="00B4625B"/>
    <w:rsid w:val="00B601DB"/>
    <w:rsid w:val="00B63B08"/>
    <w:rsid w:val="00B83E3D"/>
    <w:rsid w:val="00B84070"/>
    <w:rsid w:val="00B85FB4"/>
    <w:rsid w:val="00BB5F23"/>
    <w:rsid w:val="00BE288B"/>
    <w:rsid w:val="00C201DC"/>
    <w:rsid w:val="00C21166"/>
    <w:rsid w:val="00C67F0C"/>
    <w:rsid w:val="00C71750"/>
    <w:rsid w:val="00C74164"/>
    <w:rsid w:val="00C76048"/>
    <w:rsid w:val="00C938A9"/>
    <w:rsid w:val="00C95F38"/>
    <w:rsid w:val="00CA25B8"/>
    <w:rsid w:val="00CB650A"/>
    <w:rsid w:val="00CE5266"/>
    <w:rsid w:val="00D160FF"/>
    <w:rsid w:val="00D27160"/>
    <w:rsid w:val="00D31368"/>
    <w:rsid w:val="00D36704"/>
    <w:rsid w:val="00D52E44"/>
    <w:rsid w:val="00D75569"/>
    <w:rsid w:val="00D86848"/>
    <w:rsid w:val="00DB784F"/>
    <w:rsid w:val="00DC1CC9"/>
    <w:rsid w:val="00DF79B7"/>
    <w:rsid w:val="00E04AE7"/>
    <w:rsid w:val="00E05B4D"/>
    <w:rsid w:val="00E1170F"/>
    <w:rsid w:val="00E32A07"/>
    <w:rsid w:val="00E34D95"/>
    <w:rsid w:val="00E465AC"/>
    <w:rsid w:val="00E55F35"/>
    <w:rsid w:val="00E66A75"/>
    <w:rsid w:val="00E80276"/>
    <w:rsid w:val="00EC25E1"/>
    <w:rsid w:val="00EC318D"/>
    <w:rsid w:val="00ED2F41"/>
    <w:rsid w:val="00EF61F8"/>
    <w:rsid w:val="00F0390C"/>
    <w:rsid w:val="00F05B93"/>
    <w:rsid w:val="00F17B5B"/>
    <w:rsid w:val="00F32B57"/>
    <w:rsid w:val="00F368BC"/>
    <w:rsid w:val="00F41D81"/>
    <w:rsid w:val="00FD5E05"/>
    <w:rsid w:val="00FE2948"/>
    <w:rsid w:val="00FE6EDA"/>
    <w:rsid w:val="00FF44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9B7"/>
    <w:pPr>
      <w:spacing w:after="200" w:line="276" w:lineRule="auto"/>
    </w:pPr>
  </w:style>
  <w:style w:type="paragraph" w:styleId="Heading2">
    <w:name w:val="heading 2"/>
    <w:basedOn w:val="Normal"/>
    <w:link w:val="Heading2Char"/>
    <w:uiPriority w:val="99"/>
    <w:qFormat/>
    <w:rsid w:val="00AE31E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E31E7"/>
    <w:rPr>
      <w:rFonts w:ascii="Times New Roman" w:hAnsi="Times New Roman" w:cs="Times New Roman"/>
      <w:b/>
      <w:bCs/>
      <w:sz w:val="36"/>
      <w:szCs w:val="36"/>
    </w:rPr>
  </w:style>
  <w:style w:type="paragraph" w:styleId="ListParagraph">
    <w:name w:val="List Paragraph"/>
    <w:basedOn w:val="Normal"/>
    <w:uiPriority w:val="99"/>
    <w:qFormat/>
    <w:rsid w:val="00C71750"/>
    <w:pPr>
      <w:ind w:left="720"/>
      <w:contextualSpacing/>
    </w:pPr>
  </w:style>
  <w:style w:type="table" w:styleId="TableGrid">
    <w:name w:val="Table Grid"/>
    <w:basedOn w:val="TableNormal"/>
    <w:uiPriority w:val="99"/>
    <w:rsid w:val="00C938A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AE31E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AE31E7"/>
    <w:rPr>
      <w:rFonts w:cs="Times New Roman"/>
      <w:b/>
      <w:bCs/>
    </w:rPr>
  </w:style>
  <w:style w:type="character" w:styleId="Hyperlink">
    <w:name w:val="Hyperlink"/>
    <w:basedOn w:val="DefaultParagraphFont"/>
    <w:uiPriority w:val="99"/>
    <w:rsid w:val="004F0D40"/>
    <w:rPr>
      <w:rFonts w:cs="Times New Roman"/>
      <w:color w:val="0000FF"/>
      <w:u w:val="single"/>
    </w:rPr>
  </w:style>
  <w:style w:type="character" w:styleId="FollowedHyperlink">
    <w:name w:val="FollowedHyperlink"/>
    <w:basedOn w:val="DefaultParagraphFont"/>
    <w:uiPriority w:val="99"/>
    <w:semiHidden/>
    <w:rsid w:val="004F0D40"/>
    <w:rPr>
      <w:rFonts w:cs="Times New Roman"/>
      <w:color w:val="800080"/>
      <w:u w:val="single"/>
    </w:rPr>
  </w:style>
  <w:style w:type="paragraph" w:customStyle="1" w:styleId="ActionItems">
    <w:name w:val="Action Items"/>
    <w:basedOn w:val="Normal"/>
    <w:uiPriority w:val="99"/>
    <w:rsid w:val="00BE288B"/>
    <w:pPr>
      <w:numPr>
        <w:numId w:val="8"/>
      </w:numPr>
      <w:tabs>
        <w:tab w:val="left" w:pos="5040"/>
      </w:tabs>
      <w:spacing w:before="60" w:after="60" w:line="240" w:lineRule="auto"/>
    </w:pPr>
    <w:rPr>
      <w:rFonts w:ascii="Arial" w:eastAsia="Times New Roman" w:hAnsi="Arial" w:cs="Arial"/>
      <w:sz w:val="19"/>
      <w:szCs w:val="20"/>
    </w:rPr>
  </w:style>
  <w:style w:type="character" w:styleId="HTMLCite">
    <w:name w:val="HTML Cite"/>
    <w:basedOn w:val="DefaultParagraphFont"/>
    <w:uiPriority w:val="99"/>
    <w:semiHidden/>
    <w:rsid w:val="007232BD"/>
    <w:rPr>
      <w:rFonts w:cs="Times New Roman"/>
      <w:i/>
      <w:iCs/>
    </w:rPr>
  </w:style>
</w:styles>
</file>

<file path=word/webSettings.xml><?xml version="1.0" encoding="utf-8"?>
<w:webSettings xmlns:r="http://schemas.openxmlformats.org/officeDocument/2006/relationships" xmlns:w="http://schemas.openxmlformats.org/wordprocessingml/2006/main">
  <w:divs>
    <w:div w:id="222646993">
      <w:marLeft w:val="0"/>
      <w:marRight w:val="0"/>
      <w:marTop w:val="0"/>
      <w:marBottom w:val="0"/>
      <w:divBdr>
        <w:top w:val="none" w:sz="0" w:space="0" w:color="auto"/>
        <w:left w:val="none" w:sz="0" w:space="0" w:color="auto"/>
        <w:bottom w:val="none" w:sz="0" w:space="0" w:color="auto"/>
        <w:right w:val="none" w:sz="0" w:space="0" w:color="auto"/>
      </w:divBdr>
      <w:divsChild>
        <w:div w:id="222646994">
          <w:marLeft w:val="0"/>
          <w:marRight w:val="0"/>
          <w:marTop w:val="0"/>
          <w:marBottom w:val="0"/>
          <w:divBdr>
            <w:top w:val="none" w:sz="0" w:space="0" w:color="auto"/>
            <w:left w:val="none" w:sz="0" w:space="0" w:color="auto"/>
            <w:bottom w:val="none" w:sz="0" w:space="0" w:color="auto"/>
            <w:right w:val="none" w:sz="0" w:space="0" w:color="auto"/>
          </w:divBdr>
          <w:divsChild>
            <w:div w:id="222646996">
              <w:marLeft w:val="0"/>
              <w:marRight w:val="0"/>
              <w:marTop w:val="0"/>
              <w:marBottom w:val="0"/>
              <w:divBdr>
                <w:top w:val="none" w:sz="0" w:space="0" w:color="auto"/>
                <w:left w:val="none" w:sz="0" w:space="0" w:color="auto"/>
                <w:bottom w:val="none" w:sz="0" w:space="0" w:color="auto"/>
                <w:right w:val="none" w:sz="0" w:space="0" w:color="auto"/>
              </w:divBdr>
              <w:divsChild>
                <w:div w:id="222646997">
                  <w:marLeft w:val="0"/>
                  <w:marRight w:val="0"/>
                  <w:marTop w:val="0"/>
                  <w:marBottom w:val="0"/>
                  <w:divBdr>
                    <w:top w:val="none" w:sz="0" w:space="0" w:color="auto"/>
                    <w:left w:val="none" w:sz="0" w:space="0" w:color="auto"/>
                    <w:bottom w:val="none" w:sz="0" w:space="0" w:color="auto"/>
                    <w:right w:val="none" w:sz="0" w:space="0" w:color="auto"/>
                  </w:divBdr>
                  <w:divsChild>
                    <w:div w:id="222646998">
                      <w:marLeft w:val="0"/>
                      <w:marRight w:val="0"/>
                      <w:marTop w:val="0"/>
                      <w:marBottom w:val="0"/>
                      <w:divBdr>
                        <w:top w:val="none" w:sz="0" w:space="0" w:color="auto"/>
                        <w:left w:val="none" w:sz="0" w:space="0" w:color="auto"/>
                        <w:bottom w:val="none" w:sz="0" w:space="0" w:color="auto"/>
                        <w:right w:val="none" w:sz="0" w:space="0" w:color="auto"/>
                      </w:divBdr>
                      <w:divsChild>
                        <w:div w:id="222646999">
                          <w:marLeft w:val="0"/>
                          <w:marRight w:val="0"/>
                          <w:marTop w:val="0"/>
                          <w:marBottom w:val="0"/>
                          <w:divBdr>
                            <w:top w:val="none" w:sz="0" w:space="0" w:color="auto"/>
                            <w:left w:val="none" w:sz="0" w:space="0" w:color="auto"/>
                            <w:bottom w:val="none" w:sz="0" w:space="0" w:color="auto"/>
                            <w:right w:val="none" w:sz="0" w:space="0" w:color="auto"/>
                          </w:divBdr>
                          <w:divsChild>
                            <w:div w:id="2226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647001">
      <w:marLeft w:val="0"/>
      <w:marRight w:val="0"/>
      <w:marTop w:val="0"/>
      <w:marBottom w:val="0"/>
      <w:divBdr>
        <w:top w:val="none" w:sz="0" w:space="0" w:color="auto"/>
        <w:left w:val="none" w:sz="0" w:space="0" w:color="auto"/>
        <w:bottom w:val="none" w:sz="0" w:space="0" w:color="auto"/>
        <w:right w:val="none" w:sz="0" w:space="0" w:color="auto"/>
      </w:divBdr>
      <w:divsChild>
        <w:div w:id="222646995">
          <w:marLeft w:val="0"/>
          <w:marRight w:val="0"/>
          <w:marTop w:val="0"/>
          <w:marBottom w:val="0"/>
          <w:divBdr>
            <w:top w:val="none" w:sz="0" w:space="0" w:color="auto"/>
            <w:left w:val="none" w:sz="0" w:space="0" w:color="auto"/>
            <w:bottom w:val="none" w:sz="0" w:space="0" w:color="auto"/>
            <w:right w:val="none" w:sz="0" w:space="0" w:color="auto"/>
          </w:divBdr>
          <w:divsChild>
            <w:div w:id="222646989">
              <w:marLeft w:val="0"/>
              <w:marRight w:val="0"/>
              <w:marTop w:val="0"/>
              <w:marBottom w:val="0"/>
              <w:divBdr>
                <w:top w:val="none" w:sz="0" w:space="0" w:color="auto"/>
                <w:left w:val="none" w:sz="0" w:space="0" w:color="auto"/>
                <w:bottom w:val="none" w:sz="0" w:space="0" w:color="auto"/>
                <w:right w:val="none" w:sz="0" w:space="0" w:color="auto"/>
              </w:divBdr>
              <w:divsChild>
                <w:div w:id="222646991">
                  <w:marLeft w:val="0"/>
                  <w:marRight w:val="0"/>
                  <w:marTop w:val="0"/>
                  <w:marBottom w:val="0"/>
                  <w:divBdr>
                    <w:top w:val="none" w:sz="0" w:space="0" w:color="auto"/>
                    <w:left w:val="none" w:sz="0" w:space="0" w:color="auto"/>
                    <w:bottom w:val="none" w:sz="0" w:space="0" w:color="auto"/>
                    <w:right w:val="none" w:sz="0" w:space="0" w:color="auto"/>
                  </w:divBdr>
                  <w:divsChild>
                    <w:div w:id="222647000">
                      <w:marLeft w:val="0"/>
                      <w:marRight w:val="0"/>
                      <w:marTop w:val="0"/>
                      <w:marBottom w:val="0"/>
                      <w:divBdr>
                        <w:top w:val="none" w:sz="0" w:space="0" w:color="auto"/>
                        <w:left w:val="none" w:sz="0" w:space="0" w:color="auto"/>
                        <w:bottom w:val="none" w:sz="0" w:space="0" w:color="auto"/>
                        <w:right w:val="none" w:sz="0" w:space="0" w:color="auto"/>
                      </w:divBdr>
                      <w:divsChild>
                        <w:div w:id="222647002">
                          <w:marLeft w:val="0"/>
                          <w:marRight w:val="0"/>
                          <w:marTop w:val="0"/>
                          <w:marBottom w:val="0"/>
                          <w:divBdr>
                            <w:top w:val="none" w:sz="0" w:space="0" w:color="auto"/>
                            <w:left w:val="none" w:sz="0" w:space="0" w:color="auto"/>
                            <w:bottom w:val="none" w:sz="0" w:space="0" w:color="auto"/>
                            <w:right w:val="none" w:sz="0" w:space="0" w:color="auto"/>
                          </w:divBdr>
                          <w:divsChild>
                            <w:div w:id="2226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647003">
      <w:marLeft w:val="0"/>
      <w:marRight w:val="0"/>
      <w:marTop w:val="0"/>
      <w:marBottom w:val="0"/>
      <w:divBdr>
        <w:top w:val="none" w:sz="0" w:space="0" w:color="auto"/>
        <w:left w:val="none" w:sz="0" w:space="0" w:color="auto"/>
        <w:bottom w:val="none" w:sz="0" w:space="0" w:color="auto"/>
        <w:right w:val="none" w:sz="0" w:space="0" w:color="auto"/>
      </w:divBdr>
    </w:div>
    <w:div w:id="222647005">
      <w:marLeft w:val="0"/>
      <w:marRight w:val="0"/>
      <w:marTop w:val="0"/>
      <w:marBottom w:val="0"/>
      <w:divBdr>
        <w:top w:val="none" w:sz="0" w:space="0" w:color="auto"/>
        <w:left w:val="none" w:sz="0" w:space="0" w:color="auto"/>
        <w:bottom w:val="none" w:sz="0" w:space="0" w:color="auto"/>
        <w:right w:val="none" w:sz="0" w:space="0" w:color="auto"/>
      </w:divBdr>
      <w:divsChild>
        <w:div w:id="222647004">
          <w:marLeft w:val="0"/>
          <w:marRight w:val="0"/>
          <w:marTop w:val="0"/>
          <w:marBottom w:val="0"/>
          <w:divBdr>
            <w:top w:val="none" w:sz="0" w:space="0" w:color="auto"/>
            <w:left w:val="none" w:sz="0" w:space="0" w:color="auto"/>
            <w:bottom w:val="none" w:sz="0" w:space="0" w:color="auto"/>
            <w:right w:val="none" w:sz="0" w:space="0" w:color="auto"/>
          </w:divBdr>
          <w:divsChild>
            <w:div w:id="222647009">
              <w:marLeft w:val="0"/>
              <w:marRight w:val="0"/>
              <w:marTop w:val="0"/>
              <w:marBottom w:val="0"/>
              <w:divBdr>
                <w:top w:val="none" w:sz="0" w:space="0" w:color="auto"/>
                <w:left w:val="none" w:sz="0" w:space="0" w:color="auto"/>
                <w:bottom w:val="none" w:sz="0" w:space="0" w:color="auto"/>
                <w:right w:val="none" w:sz="0" w:space="0" w:color="auto"/>
              </w:divBdr>
              <w:divsChild>
                <w:div w:id="222647007">
                  <w:marLeft w:val="0"/>
                  <w:marRight w:val="0"/>
                  <w:marTop w:val="0"/>
                  <w:marBottom w:val="0"/>
                  <w:divBdr>
                    <w:top w:val="none" w:sz="0" w:space="0" w:color="auto"/>
                    <w:left w:val="none" w:sz="0" w:space="0" w:color="auto"/>
                    <w:bottom w:val="none" w:sz="0" w:space="0" w:color="auto"/>
                    <w:right w:val="none" w:sz="0" w:space="0" w:color="auto"/>
                  </w:divBdr>
                  <w:divsChild>
                    <w:div w:id="222647006">
                      <w:marLeft w:val="0"/>
                      <w:marRight w:val="0"/>
                      <w:marTop w:val="0"/>
                      <w:marBottom w:val="0"/>
                      <w:divBdr>
                        <w:top w:val="none" w:sz="0" w:space="0" w:color="auto"/>
                        <w:left w:val="none" w:sz="0" w:space="0" w:color="auto"/>
                        <w:bottom w:val="none" w:sz="0" w:space="0" w:color="auto"/>
                        <w:right w:val="none" w:sz="0" w:space="0" w:color="auto"/>
                      </w:divBdr>
                      <w:divsChild>
                        <w:div w:id="222647010">
                          <w:marLeft w:val="0"/>
                          <w:marRight w:val="0"/>
                          <w:marTop w:val="0"/>
                          <w:marBottom w:val="0"/>
                          <w:divBdr>
                            <w:top w:val="none" w:sz="0" w:space="0" w:color="auto"/>
                            <w:left w:val="none" w:sz="0" w:space="0" w:color="auto"/>
                            <w:bottom w:val="none" w:sz="0" w:space="0" w:color="auto"/>
                            <w:right w:val="none" w:sz="0" w:space="0" w:color="auto"/>
                          </w:divBdr>
                          <w:divsChild>
                            <w:div w:id="2226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647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421</Words>
  <Characters>2400</Characters>
  <Application>Microsoft Office Outlook</Application>
  <DocSecurity>0</DocSecurity>
  <Lines>0</Lines>
  <Paragraphs>0</Paragraphs>
  <ScaleCrop>false</ScaleCrop>
  <Company>McGill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Personnel Office Information for AAG Meeting</dc:title>
  <dc:subject/>
  <dc:creator>klauer</dc:creator>
  <cp:keywords/>
  <dc:description/>
  <cp:lastModifiedBy>Administrator</cp:lastModifiedBy>
  <cp:revision>2</cp:revision>
  <cp:lastPrinted>2010-01-28T16:54:00Z</cp:lastPrinted>
  <dcterms:created xsi:type="dcterms:W3CDTF">2010-01-28T16:55:00Z</dcterms:created>
  <dcterms:modified xsi:type="dcterms:W3CDTF">2010-01-28T16:55:00Z</dcterms:modified>
</cp:coreProperties>
</file>