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A6" w:rsidRPr="00C11CA6" w:rsidRDefault="00A4285A" w:rsidP="00A4285A">
      <w:pPr>
        <w:pStyle w:val="NormalWeb"/>
        <w:keepNext/>
        <w:framePr w:dropCap="drop" w:lines="3" w:hSpace="432" w:wrap="around" w:vAnchor="text" w:hAnchor="text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1558" w:lineRule="exact"/>
        <w:textAlignment w:val="baseline"/>
        <w:rPr>
          <w:rFonts w:ascii="Calibri" w:hAnsi="Calibri"/>
          <w:b/>
          <w:color w:val="EA0000"/>
          <w:position w:val="-13"/>
          <w:sz w:val="4"/>
          <w:szCs w:val="36"/>
        </w:rPr>
      </w:pPr>
      <w:r>
        <w:rPr>
          <w:rFonts w:ascii="Calibri" w:hAnsi="Calibri"/>
          <w:b/>
          <w:noProof/>
          <w:color w:val="EA0000"/>
          <w:position w:val="-13"/>
          <w:sz w:val="205"/>
          <w:szCs w:val="36"/>
        </w:rPr>
        <w:drawing>
          <wp:inline distT="0" distB="0" distL="0" distR="0">
            <wp:extent cx="670560" cy="822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A6" w:rsidRPr="00C11CA6" w:rsidRDefault="00A4285A" w:rsidP="00A4285A">
      <w:pPr>
        <w:pStyle w:val="NormalWeb"/>
        <w:spacing w:before="0" w:beforeAutospacing="0" w:after="80" w:afterAutospacing="0"/>
        <w:rPr>
          <w:rFonts w:ascii="Arial Black" w:hAnsi="Arial Black" w:cs="Arial"/>
          <w:b/>
          <w:color w:val="C00000"/>
          <w:sz w:val="4"/>
          <w:szCs w:val="48"/>
        </w:rPr>
      </w:pPr>
      <w:r w:rsidRPr="00B07620">
        <w:rPr>
          <w:rFonts w:ascii="Arial Black" w:hAnsi="Arial Black" w:cs="Arial"/>
          <w:b/>
          <w:color w:val="C00000"/>
          <w:sz w:val="48"/>
          <w:szCs w:val="48"/>
        </w:rPr>
        <w:t>CREOR</w:t>
      </w:r>
    </w:p>
    <w:p w:rsidR="00C11CA6" w:rsidRPr="00C11CA6" w:rsidRDefault="00A4285A" w:rsidP="00A4285A">
      <w:pPr>
        <w:pStyle w:val="NormalWeb"/>
        <w:spacing w:before="0" w:beforeAutospacing="0" w:after="80" w:afterAutospacing="0"/>
        <w:rPr>
          <w:rFonts w:ascii="Calibri" w:hAnsi="Calibri" w:cs="Arial"/>
          <w:b/>
          <w:color w:val="C00000"/>
          <w:sz w:val="4"/>
        </w:rPr>
      </w:pPr>
      <w:r w:rsidRPr="006F05D7">
        <w:rPr>
          <w:rFonts w:ascii="Calibri" w:hAnsi="Calibri" w:cs="Arial"/>
          <w:b/>
          <w:color w:val="C00000"/>
        </w:rPr>
        <w:t xml:space="preserve">McGILL CENTRE FOR RESEARCH ON RELIGION </w:t>
      </w:r>
    </w:p>
    <w:p w:rsidR="00C11CA6" w:rsidRPr="00C11CA6" w:rsidRDefault="00A4285A" w:rsidP="00A4285A">
      <w:pPr>
        <w:pStyle w:val="NormalWeb"/>
        <w:spacing w:before="0" w:beforeAutospacing="0" w:after="80" w:afterAutospacing="0"/>
        <w:rPr>
          <w:rFonts w:ascii="Calibri" w:hAnsi="Calibri" w:cs="Arial"/>
          <w:b/>
          <w:color w:val="C00000"/>
          <w:sz w:val="4"/>
          <w:lang w:val="fr-FR"/>
        </w:rPr>
      </w:pPr>
      <w:r w:rsidRPr="006F05D7">
        <w:rPr>
          <w:rFonts w:ascii="Calibri" w:hAnsi="Calibri" w:cs="Arial"/>
          <w:b/>
          <w:color w:val="C00000"/>
          <w:lang w:val="fr-FR"/>
        </w:rPr>
        <w:t xml:space="preserve">CENTRE DE RECHERCHE SUR LA RELIGION    </w:t>
      </w:r>
    </w:p>
    <w:p w:rsidR="00C11CA6" w:rsidRPr="00C11CA6" w:rsidRDefault="00C11CA6" w:rsidP="00CA1287">
      <w:pPr>
        <w:spacing w:line="223" w:lineRule="auto"/>
        <w:ind w:firstLine="0"/>
        <w:rPr>
          <w:rFonts w:ascii="Calibri" w:hAnsi="Calibri"/>
          <w:b/>
          <w:color w:val="C00000"/>
          <w:sz w:val="4"/>
          <w:szCs w:val="32"/>
          <w:lang w:val="fr-FR"/>
        </w:rPr>
      </w:pPr>
    </w:p>
    <w:p w:rsidR="00C11CA6" w:rsidRPr="00C11CA6" w:rsidRDefault="00A4285A" w:rsidP="00CA1287">
      <w:pPr>
        <w:spacing w:line="223" w:lineRule="auto"/>
        <w:ind w:firstLine="0"/>
        <w:rPr>
          <w:rFonts w:ascii="Arial Black" w:hAnsi="Arial Black"/>
          <w:b/>
          <w:color w:val="C00000"/>
          <w:sz w:val="4"/>
          <w:szCs w:val="48"/>
          <w:lang w:val="en-CA"/>
        </w:rPr>
      </w:pPr>
      <w:r w:rsidRPr="00130EB0">
        <w:rPr>
          <w:rFonts w:ascii="Arial Black" w:hAnsi="Arial Black"/>
          <w:b/>
          <w:color w:val="C00000"/>
          <w:sz w:val="48"/>
          <w:szCs w:val="48"/>
          <w:lang w:val="en-CA"/>
        </w:rPr>
        <w:t>Conversion and Modernity</w:t>
      </w:r>
    </w:p>
    <w:p w:rsidR="00C11CA6" w:rsidRPr="00C11CA6" w:rsidRDefault="00C11CA6" w:rsidP="00F1367B">
      <w:pPr>
        <w:ind w:firstLine="0"/>
        <w:rPr>
          <w:rFonts w:asciiTheme="minorHAnsi" w:hAnsiTheme="minorHAnsi" w:cs="TimesNewRomanPSMT"/>
          <w:kern w:val="0"/>
          <w:sz w:val="4"/>
          <w:szCs w:val="22"/>
          <w:lang w:val="en-GB"/>
        </w:rPr>
      </w:pPr>
    </w:p>
    <w:p w:rsidR="00C11CA6" w:rsidRPr="00C11CA6" w:rsidRDefault="00F1367B" w:rsidP="00FE740F">
      <w:pPr>
        <w:ind w:firstLine="0"/>
        <w:jc w:val="both"/>
        <w:rPr>
          <w:rFonts w:asciiTheme="minorHAnsi" w:hAnsiTheme="minorHAnsi" w:cs="TimesNewRomanPSMT"/>
          <w:kern w:val="0"/>
          <w:sz w:val="4"/>
          <w:szCs w:val="20"/>
          <w:lang w:val="en-GB"/>
        </w:rPr>
      </w:pP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The notion of “conversion” is commonly taken to denote a specifically religious phenomenon.  In its broad definition, however, conversion refers to a “turning” </w:t>
      </w:r>
      <w:r w:rsidR="0017236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with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</w:t>
      </w:r>
      <w:r w:rsidR="0017236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respect to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position, direction, or destination</w:t>
      </w:r>
      <w:r w:rsidR="00DF47AE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which results in a recasting of basic orientation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.  </w:t>
      </w:r>
      <w:r w:rsidR="0017236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“Conversion” </w:t>
      </w:r>
      <w:r w:rsidR="00D213E8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can </w:t>
      </w:r>
      <w:r w:rsidR="00F31D3E" w:rsidRPr="00C11CA6">
        <w:rPr>
          <w:rFonts w:asciiTheme="minorHAnsi" w:hAnsiTheme="minorHAnsi"/>
          <w:sz w:val="20"/>
          <w:szCs w:val="20"/>
        </w:rPr>
        <w:t>sig</w:t>
      </w:r>
      <w:r w:rsidR="00D213E8" w:rsidRPr="00C11CA6">
        <w:rPr>
          <w:rFonts w:asciiTheme="minorHAnsi" w:hAnsiTheme="minorHAnsi"/>
          <w:sz w:val="20"/>
          <w:szCs w:val="20"/>
        </w:rPr>
        <w:t>nify</w:t>
      </w:r>
      <w:r w:rsidR="00172361" w:rsidRPr="00C11CA6">
        <w:rPr>
          <w:rFonts w:asciiTheme="minorHAnsi" w:hAnsiTheme="minorHAnsi"/>
          <w:sz w:val="20"/>
          <w:szCs w:val="20"/>
        </w:rPr>
        <w:t xml:space="preserve"> a fundamental alteration of character, a change of nature, form, or function, that is to say, a process of turning or being turned towards or even into something else</w:t>
      </w:r>
      <w:r w:rsidR="00F31D3E" w:rsidRPr="00C11CA6">
        <w:rPr>
          <w:rFonts w:asciiTheme="minorHAnsi" w:hAnsiTheme="minorHAnsi"/>
          <w:sz w:val="20"/>
          <w:szCs w:val="20"/>
        </w:rPr>
        <w:t>, as in metamorphosis</w:t>
      </w:r>
      <w:r w:rsidR="00172361" w:rsidRPr="00C11CA6">
        <w:rPr>
          <w:rFonts w:asciiTheme="minorHAnsi" w:hAnsiTheme="minorHAnsi"/>
          <w:sz w:val="20"/>
          <w:szCs w:val="20"/>
        </w:rPr>
        <w:t xml:space="preserve">.  </w:t>
      </w:r>
      <w:r w:rsidR="00DF47AE" w:rsidRPr="00C11CA6">
        <w:rPr>
          <w:rFonts w:asciiTheme="minorHAnsi" w:hAnsiTheme="minorHAnsi"/>
          <w:sz w:val="20"/>
          <w:szCs w:val="20"/>
        </w:rPr>
        <w:t xml:space="preserve">Conversion can enable an elemental transformation of perspective in both real and metaphorical space. </w:t>
      </w:r>
      <w:r w:rsidR="00172361" w:rsidRPr="00C11CA6">
        <w:rPr>
          <w:rFonts w:asciiTheme="minorHAnsi" w:hAnsiTheme="minorHAnsi"/>
          <w:sz w:val="20"/>
          <w:szCs w:val="20"/>
        </w:rPr>
        <w:t xml:space="preserve">The origins of secular modernity can be traced back to </w:t>
      </w:r>
      <w:r w:rsidR="00A4285A" w:rsidRPr="00C11CA6">
        <w:rPr>
          <w:rFonts w:asciiTheme="minorHAnsi" w:hAnsiTheme="minorHAnsi"/>
          <w:sz w:val="20"/>
          <w:szCs w:val="20"/>
        </w:rPr>
        <w:t xml:space="preserve">an occurrence of </w:t>
      </w:r>
      <w:r w:rsidR="00951CE9" w:rsidRPr="00C11CA6">
        <w:rPr>
          <w:rFonts w:asciiTheme="minorHAnsi" w:hAnsiTheme="minorHAnsi"/>
          <w:sz w:val="20"/>
          <w:szCs w:val="20"/>
        </w:rPr>
        <w:t xml:space="preserve">shared </w:t>
      </w:r>
      <w:r w:rsidR="00A4285A" w:rsidRPr="00C11CA6">
        <w:rPr>
          <w:rFonts w:asciiTheme="minorHAnsi" w:hAnsiTheme="minorHAnsi"/>
          <w:sz w:val="20"/>
          <w:szCs w:val="20"/>
        </w:rPr>
        <w:t xml:space="preserve">cultural conversion, a </w:t>
      </w:r>
      <w:r w:rsidR="00D213E8" w:rsidRPr="00C11CA6">
        <w:rPr>
          <w:rFonts w:asciiTheme="minorHAnsi" w:hAnsiTheme="minorHAnsi"/>
          <w:sz w:val="20"/>
          <w:szCs w:val="20"/>
        </w:rPr>
        <w:t xml:space="preserve">turning or </w:t>
      </w:r>
      <w:r w:rsidR="00172361" w:rsidRPr="00C11CA6">
        <w:rPr>
          <w:rFonts w:asciiTheme="minorHAnsi" w:hAnsiTheme="minorHAnsi"/>
          <w:sz w:val="20"/>
          <w:szCs w:val="20"/>
        </w:rPr>
        <w:t>radical shift in</w:t>
      </w:r>
      <w:r w:rsidR="00D213E8" w:rsidRPr="00C11CA6">
        <w:rPr>
          <w:rFonts w:asciiTheme="minorHAnsi" w:hAnsiTheme="minorHAnsi"/>
          <w:sz w:val="20"/>
          <w:szCs w:val="20"/>
        </w:rPr>
        <w:t xml:space="preserve"> orientation with respect to the</w:t>
      </w:r>
      <w:r w:rsidR="00F31D3E" w:rsidRPr="00C11CA6">
        <w:rPr>
          <w:rFonts w:asciiTheme="minorHAnsi" w:hAnsiTheme="minorHAnsi"/>
          <w:sz w:val="20"/>
          <w:szCs w:val="20"/>
        </w:rPr>
        <w:t xml:space="preserve"> widely</w:t>
      </w:r>
      <w:r w:rsidR="00172361" w:rsidRPr="00C11CA6">
        <w:rPr>
          <w:rFonts w:asciiTheme="minorHAnsi" w:hAnsiTheme="minorHAnsi"/>
          <w:sz w:val="20"/>
          <w:szCs w:val="20"/>
        </w:rPr>
        <w:t xml:space="preserve"> assumed “horizon” of knowledge and </w:t>
      </w:r>
      <w:r w:rsidR="00F31D3E" w:rsidRPr="00C11CA6">
        <w:rPr>
          <w:rFonts w:asciiTheme="minorHAnsi" w:hAnsiTheme="minorHAnsi"/>
          <w:sz w:val="20"/>
          <w:szCs w:val="20"/>
        </w:rPr>
        <w:t>meaning</w:t>
      </w:r>
      <w:r w:rsidR="00172361" w:rsidRPr="00C11CA6">
        <w:rPr>
          <w:rFonts w:asciiTheme="minorHAnsi" w:hAnsiTheme="minorHAnsi"/>
          <w:sz w:val="20"/>
          <w:szCs w:val="20"/>
        </w:rPr>
        <w:t>—</w:t>
      </w:r>
      <w:r w:rsidR="00524FEF" w:rsidRPr="00C11CA6">
        <w:rPr>
          <w:rFonts w:asciiTheme="minorHAnsi" w:hAnsiTheme="minorHAnsi"/>
          <w:sz w:val="20"/>
          <w:szCs w:val="20"/>
        </w:rPr>
        <w:t xml:space="preserve">in Greek </w:t>
      </w:r>
      <w:r w:rsidR="00524FEF" w:rsidRPr="00C11CA6">
        <w:rPr>
          <w:rFonts w:asciiTheme="minorHAnsi" w:hAnsiTheme="minorHAnsi"/>
          <w:i/>
          <w:sz w:val="20"/>
          <w:szCs w:val="20"/>
        </w:rPr>
        <w:t>metanoia</w:t>
      </w:r>
      <w:r w:rsidR="00524FEF" w:rsidRPr="00C11CA6">
        <w:rPr>
          <w:rFonts w:asciiTheme="minorHAnsi" w:hAnsiTheme="minorHAnsi"/>
          <w:sz w:val="20"/>
          <w:szCs w:val="20"/>
        </w:rPr>
        <w:t xml:space="preserve"> or, as some have recently termed it, </w:t>
      </w:r>
      <w:r w:rsidR="00172361" w:rsidRPr="00C11CA6">
        <w:rPr>
          <w:rFonts w:asciiTheme="minorHAnsi" w:hAnsiTheme="minorHAnsi"/>
          <w:sz w:val="20"/>
          <w:szCs w:val="20"/>
        </w:rPr>
        <w:t>a conversion of “cognitive ecology”</w:t>
      </w:r>
      <w:r w:rsidR="00F31D3E" w:rsidRPr="00C11CA6">
        <w:rPr>
          <w:rFonts w:asciiTheme="minorHAnsi" w:hAnsiTheme="minorHAnsi"/>
          <w:sz w:val="20"/>
          <w:szCs w:val="20"/>
        </w:rPr>
        <w:t>.  The</w:t>
      </w:r>
      <w:r w:rsidR="00172361" w:rsidRPr="00C11CA6">
        <w:rPr>
          <w:rFonts w:asciiTheme="minorHAnsi" w:hAnsiTheme="minorHAnsi"/>
          <w:sz w:val="20"/>
          <w:szCs w:val="20"/>
        </w:rPr>
        <w:t xml:space="preserve"> </w:t>
      </w:r>
      <w:r w:rsidR="00BF0DBB" w:rsidRPr="00C11CA6">
        <w:rPr>
          <w:rFonts w:asciiTheme="minorHAnsi" w:hAnsiTheme="minorHAnsi"/>
          <w:sz w:val="20"/>
          <w:szCs w:val="20"/>
        </w:rPr>
        <w:t xml:space="preserve">cognitive and </w:t>
      </w:r>
      <w:r w:rsidR="00172361" w:rsidRPr="00C11CA6">
        <w:rPr>
          <w:rFonts w:asciiTheme="minorHAnsi" w:hAnsiTheme="minorHAnsi"/>
          <w:sz w:val="20"/>
          <w:szCs w:val="20"/>
        </w:rPr>
        <w:t xml:space="preserve">cultural shift </w:t>
      </w:r>
      <w:r w:rsidR="00F31D3E" w:rsidRPr="00C11CA6">
        <w:rPr>
          <w:rFonts w:asciiTheme="minorHAnsi" w:hAnsiTheme="minorHAnsi"/>
          <w:sz w:val="20"/>
          <w:szCs w:val="20"/>
        </w:rPr>
        <w:t xml:space="preserve">which gives rise to modernity is </w:t>
      </w:r>
      <w:r w:rsidR="00BF0DBB" w:rsidRPr="00C11CA6">
        <w:rPr>
          <w:rFonts w:asciiTheme="minorHAnsi" w:hAnsiTheme="minorHAnsi"/>
          <w:sz w:val="20"/>
          <w:szCs w:val="20"/>
        </w:rPr>
        <w:t xml:space="preserve">customarily </w:t>
      </w:r>
      <w:r w:rsidR="00F31D3E" w:rsidRPr="00C11CA6">
        <w:rPr>
          <w:rFonts w:asciiTheme="minorHAnsi" w:hAnsiTheme="minorHAnsi"/>
          <w:sz w:val="20"/>
          <w:szCs w:val="20"/>
        </w:rPr>
        <w:t xml:space="preserve">associated with intellectual, </w:t>
      </w:r>
      <w:r w:rsidR="00BF0DBB" w:rsidRPr="00C11CA6">
        <w:rPr>
          <w:rFonts w:asciiTheme="minorHAnsi" w:hAnsiTheme="minorHAnsi"/>
          <w:sz w:val="20"/>
          <w:szCs w:val="20"/>
        </w:rPr>
        <w:t>religious</w:t>
      </w:r>
      <w:r w:rsidR="00F31D3E" w:rsidRPr="00C11CA6">
        <w:rPr>
          <w:rFonts w:asciiTheme="minorHAnsi" w:hAnsiTheme="minorHAnsi"/>
          <w:sz w:val="20"/>
          <w:szCs w:val="20"/>
        </w:rPr>
        <w:t xml:space="preserve">, and aesthetic movements designated by historians as “Renaissance”, “Reformation”, </w:t>
      </w:r>
      <w:r w:rsidR="00951CE9" w:rsidRPr="00C11CA6">
        <w:rPr>
          <w:rFonts w:asciiTheme="minorHAnsi" w:hAnsiTheme="minorHAnsi"/>
          <w:sz w:val="20"/>
          <w:szCs w:val="20"/>
        </w:rPr>
        <w:t>and</w:t>
      </w:r>
      <w:r w:rsidR="00F31D3E" w:rsidRPr="00C11CA6">
        <w:rPr>
          <w:rFonts w:asciiTheme="minorHAnsi" w:hAnsiTheme="minorHAnsi"/>
          <w:sz w:val="20"/>
          <w:szCs w:val="20"/>
        </w:rPr>
        <w:t xml:space="preserve"> “the Baroque”.  </w:t>
      </w:r>
      <w:r w:rsidR="00951CE9" w:rsidRPr="00C11CA6">
        <w:rPr>
          <w:rFonts w:asciiTheme="minorHAnsi" w:hAnsiTheme="minorHAnsi"/>
          <w:sz w:val="20"/>
          <w:szCs w:val="20"/>
        </w:rPr>
        <w:t>With an emerging modernity m</w:t>
      </w:r>
      <w:r w:rsidR="00A4285A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anifold forms of conversion 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have </w:t>
      </w:r>
      <w:r w:rsidR="00A4285A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translated the horizon lines of knowledge and 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redrawn</w:t>
      </w:r>
      <w:r w:rsidR="00A4285A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the world-pictures of individuals and 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whole communitie</w:t>
      </w:r>
      <w:r w:rsidR="00A4285A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s. </w:t>
      </w:r>
      <w:r w:rsidR="00A4285A" w:rsidRPr="00C11CA6">
        <w:rPr>
          <w:rFonts w:asciiTheme="minorHAnsi" w:hAnsiTheme="minorHAnsi"/>
          <w:sz w:val="20"/>
          <w:szCs w:val="20"/>
        </w:rPr>
        <w:t xml:space="preserve">In short, </w:t>
      </w:r>
      <w:r w:rsidR="00CA1287" w:rsidRPr="00C11CA6">
        <w:rPr>
          <w:rFonts w:asciiTheme="minorHAnsi" w:hAnsiTheme="minorHAnsi"/>
          <w:sz w:val="20"/>
          <w:szCs w:val="20"/>
        </w:rPr>
        <w:t xml:space="preserve">our theme takes as its premise that </w:t>
      </w:r>
      <w:r w:rsidR="00A4285A" w:rsidRPr="00C11CA6">
        <w:rPr>
          <w:rFonts w:asciiTheme="minorHAnsi" w:hAnsiTheme="minorHAnsi"/>
          <w:sz w:val="20"/>
          <w:szCs w:val="20"/>
        </w:rPr>
        <w:t>m</w:t>
      </w:r>
      <w:r w:rsidR="00D213E8" w:rsidRPr="00C11CA6">
        <w:rPr>
          <w:rFonts w:asciiTheme="minorHAnsi" w:hAnsiTheme="minorHAnsi"/>
          <w:sz w:val="20"/>
          <w:szCs w:val="20"/>
        </w:rPr>
        <w:t xml:space="preserve">odernity </w:t>
      </w:r>
      <w:r w:rsidR="00951CE9" w:rsidRPr="00C11CA6">
        <w:rPr>
          <w:rFonts w:asciiTheme="minorHAnsi" w:hAnsiTheme="minorHAnsi"/>
          <w:sz w:val="20"/>
          <w:szCs w:val="20"/>
        </w:rPr>
        <w:t xml:space="preserve">itself </w:t>
      </w:r>
      <w:r w:rsidR="00D213E8" w:rsidRPr="00C11CA6">
        <w:rPr>
          <w:rFonts w:asciiTheme="minorHAnsi" w:hAnsiTheme="minorHAnsi"/>
          <w:sz w:val="20"/>
          <w:szCs w:val="20"/>
        </w:rPr>
        <w:t xml:space="preserve">can be viewed as the manifestation of a </w:t>
      </w:r>
      <w:r w:rsidR="00A4285A" w:rsidRPr="00C11CA6">
        <w:rPr>
          <w:rFonts w:asciiTheme="minorHAnsi" w:hAnsiTheme="minorHAnsi"/>
          <w:sz w:val="20"/>
          <w:szCs w:val="20"/>
        </w:rPr>
        <w:t xml:space="preserve">broadly based </w:t>
      </w:r>
      <w:r w:rsidR="00CA1287" w:rsidRPr="00C11CA6">
        <w:rPr>
          <w:rFonts w:asciiTheme="minorHAnsi" w:hAnsiTheme="minorHAnsi"/>
          <w:sz w:val="20"/>
          <w:szCs w:val="20"/>
        </w:rPr>
        <w:t>“</w:t>
      </w:r>
      <w:r w:rsidR="00D213E8" w:rsidRPr="00C11CA6">
        <w:rPr>
          <w:rFonts w:asciiTheme="minorHAnsi" w:hAnsiTheme="minorHAnsi"/>
          <w:sz w:val="20"/>
          <w:szCs w:val="20"/>
        </w:rPr>
        <w:t>conversion</w:t>
      </w:r>
      <w:r w:rsidR="00CA1287" w:rsidRPr="00C11CA6">
        <w:rPr>
          <w:rFonts w:asciiTheme="minorHAnsi" w:hAnsiTheme="minorHAnsi"/>
          <w:sz w:val="20"/>
          <w:szCs w:val="20"/>
        </w:rPr>
        <w:t>”</w:t>
      </w:r>
      <w:r w:rsidR="00D213E8" w:rsidRPr="00C11CA6">
        <w:rPr>
          <w:rFonts w:asciiTheme="minorHAnsi" w:hAnsiTheme="minorHAnsi"/>
          <w:sz w:val="20"/>
          <w:szCs w:val="20"/>
        </w:rPr>
        <w:t xml:space="preserve"> of world-view.  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In tracing the birth of modernity </w:t>
      </w:r>
      <w:r w:rsidR="009753A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the 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phenomenon of religious conversion </w:t>
      </w:r>
      <w:r w:rsidR="009753A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provides a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n</w:t>
      </w:r>
      <w:r w:rsidR="009753A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effectual point of departure for a wider discussion of </w:t>
      </w:r>
      <w:r w:rsidR="00A4285A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diverse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“</w:t>
      </w:r>
      <w:r w:rsidR="00CA1287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forms of conversion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”—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geographical, socio-cultural, material, linguistic, literary and artistic, human-animal, sexual, cognitive and affective, as well as religious. By </w:t>
      </w:r>
      <w:r w:rsidR="009753A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treat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ing 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these 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forms of conversion across disciplinary boundaries as a nexus of movements, translations, and transformations, we 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hope that these lectures 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will 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contribute to 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develop</w:t>
      </w:r>
      <w:r w:rsidR="00951CE9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ing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an understanding of religious, cultural, and cognitive change that will </w:t>
      </w:r>
      <w:r w:rsidR="005A0216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in turn 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provide </w:t>
      </w:r>
      <w:r w:rsidR="00524FEF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insight into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the emergence of the modern</w:t>
      </w:r>
      <w:r w:rsidR="00524FEF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world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>.</w:t>
      </w:r>
    </w:p>
    <w:p w:rsidR="00C11CA6" w:rsidRPr="00C11CA6" w:rsidRDefault="00C11CA6" w:rsidP="00FE740F">
      <w:pPr>
        <w:ind w:firstLine="0"/>
        <w:jc w:val="both"/>
        <w:rPr>
          <w:rFonts w:asciiTheme="minorHAnsi" w:hAnsiTheme="minorHAnsi" w:cs="TimesNewRomanPSMT"/>
          <w:b/>
          <w:kern w:val="0"/>
          <w:sz w:val="4"/>
          <w:szCs w:val="20"/>
          <w:lang w:val="en-GB"/>
        </w:rPr>
      </w:pPr>
    </w:p>
    <w:p w:rsidR="00C11CA6" w:rsidRPr="00C11CA6" w:rsidRDefault="00CA1287" w:rsidP="00FE740F">
      <w:pPr>
        <w:ind w:firstLine="0"/>
        <w:jc w:val="both"/>
        <w:rPr>
          <w:rFonts w:ascii="Calibri" w:hAnsi="Calibri"/>
          <w:sz w:val="4"/>
          <w:szCs w:val="20"/>
          <w:lang w:val="en-CA"/>
        </w:rPr>
      </w:pP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In a lecture series sponsored by the McGill </w:t>
      </w:r>
      <w:r w:rsidRPr="00C11CA6">
        <w:rPr>
          <w:rFonts w:asciiTheme="minorHAnsi" w:hAnsiTheme="minorHAnsi" w:cs="TimesNewRomanPSMT"/>
          <w:b/>
          <w:color w:val="C00000"/>
          <w:kern w:val="0"/>
          <w:sz w:val="20"/>
          <w:szCs w:val="20"/>
          <w:lang w:val="en-GB"/>
        </w:rPr>
        <w:t>Centre for Research on Religion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 and scheduled for autumn 2012, we propose </w:t>
      </w:r>
      <w:r w:rsidR="009753A1"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to address 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the theme </w:t>
      </w:r>
      <w:r w:rsidRPr="00C11CA6">
        <w:rPr>
          <w:rFonts w:asciiTheme="minorHAnsi" w:hAnsiTheme="minorHAnsi" w:cs="TimesNewRomanPSMT"/>
          <w:b/>
          <w:color w:val="C00000"/>
          <w:kern w:val="0"/>
          <w:sz w:val="20"/>
          <w:szCs w:val="20"/>
          <w:lang w:val="en-GB"/>
        </w:rPr>
        <w:t>Conversion and Modernity</w:t>
      </w:r>
      <w:r w:rsidRPr="00C11CA6">
        <w:rPr>
          <w:rFonts w:asciiTheme="minorHAnsi" w:hAnsiTheme="minorHAnsi" w:cs="TimesNewRomanPSMT"/>
          <w:kern w:val="0"/>
          <w:sz w:val="20"/>
          <w:szCs w:val="20"/>
          <w:lang w:val="en-GB"/>
        </w:rPr>
        <w:t xml:space="preserve">.  </w:t>
      </w:r>
      <w:r w:rsidR="000E4D9B">
        <w:rPr>
          <w:rFonts w:ascii="Calibri" w:hAnsi="Calibri"/>
          <w:sz w:val="20"/>
          <w:szCs w:val="20"/>
          <w:lang w:val="en-CA"/>
        </w:rPr>
        <w:t>Eight</w:t>
      </w:r>
      <w:r w:rsidR="00A4285A" w:rsidRPr="00C11CA6">
        <w:rPr>
          <w:rFonts w:ascii="Calibri" w:hAnsi="Calibri"/>
          <w:sz w:val="20"/>
          <w:szCs w:val="20"/>
          <w:lang w:val="en-CA"/>
        </w:rPr>
        <w:t xml:space="preserve"> </w:t>
      </w:r>
      <w:r w:rsidR="004E27B6" w:rsidRPr="00C11CA6">
        <w:rPr>
          <w:rFonts w:ascii="Calibri" w:hAnsi="Calibri"/>
          <w:sz w:val="20"/>
          <w:szCs w:val="20"/>
          <w:lang w:val="en-CA"/>
        </w:rPr>
        <w:t xml:space="preserve">one-hour lectures followed by </w:t>
      </w:r>
      <w:r w:rsidR="00A4285A" w:rsidRPr="00C11CA6">
        <w:rPr>
          <w:rFonts w:ascii="Calibri" w:hAnsi="Calibri"/>
          <w:sz w:val="20"/>
          <w:szCs w:val="20"/>
          <w:lang w:val="en-CA"/>
        </w:rPr>
        <w:t xml:space="preserve">half-hour </w:t>
      </w:r>
      <w:r w:rsidR="004E27B6" w:rsidRPr="00C11CA6">
        <w:rPr>
          <w:rFonts w:ascii="Calibri" w:hAnsi="Calibri"/>
          <w:sz w:val="20"/>
          <w:szCs w:val="20"/>
          <w:lang w:val="en-CA"/>
        </w:rPr>
        <w:t xml:space="preserve">periods </w:t>
      </w:r>
      <w:r w:rsidR="00A4285A" w:rsidRPr="00C11CA6">
        <w:rPr>
          <w:rFonts w:ascii="Calibri" w:hAnsi="Calibri"/>
          <w:sz w:val="20"/>
          <w:szCs w:val="20"/>
          <w:lang w:val="en-CA"/>
        </w:rPr>
        <w:t>of open discussion will be delivered at the Faculty of Religious Studies, 3520 University Street, on Wednesd</w:t>
      </w:r>
      <w:r w:rsidR="005E05E3" w:rsidRPr="00C11CA6">
        <w:rPr>
          <w:rFonts w:ascii="Calibri" w:hAnsi="Calibri"/>
          <w:sz w:val="20"/>
          <w:szCs w:val="20"/>
          <w:lang w:val="en-CA"/>
        </w:rPr>
        <w:t>ays in October and November 2012</w:t>
      </w:r>
      <w:r w:rsidR="00A4285A" w:rsidRPr="00C11CA6">
        <w:rPr>
          <w:rFonts w:ascii="Calibri" w:hAnsi="Calibri"/>
          <w:sz w:val="20"/>
          <w:szCs w:val="20"/>
          <w:lang w:val="en-CA"/>
        </w:rPr>
        <w:t xml:space="preserve">, at 5:30 pm. </w:t>
      </w:r>
      <w:r w:rsidR="00FE740F" w:rsidRPr="00C11CA6">
        <w:rPr>
          <w:rFonts w:asciiTheme="minorHAnsi" w:hAnsiTheme="minorHAnsi"/>
          <w:sz w:val="20"/>
          <w:szCs w:val="20"/>
          <w:lang w:val="en-CA"/>
        </w:rPr>
        <w:t xml:space="preserve">Contact: </w:t>
      </w:r>
      <w:r w:rsidR="00A4285A" w:rsidRPr="00C11CA6">
        <w:rPr>
          <w:rFonts w:asciiTheme="minorHAnsi" w:hAnsiTheme="minorHAnsi"/>
          <w:sz w:val="20"/>
          <w:szCs w:val="20"/>
          <w:lang w:val="en-CA"/>
        </w:rPr>
        <w:t xml:space="preserve">Torrance Kirby, Director of </w:t>
      </w:r>
      <w:r w:rsidR="00C11CA6">
        <w:rPr>
          <w:rFonts w:asciiTheme="minorHAnsi" w:hAnsiTheme="minorHAnsi"/>
          <w:b/>
          <w:color w:val="C00000"/>
          <w:sz w:val="20"/>
          <w:szCs w:val="20"/>
          <w:lang w:val="en-CA"/>
        </w:rPr>
        <w:t>CREOR</w:t>
      </w:r>
      <w:r w:rsidR="008B6234" w:rsidRPr="00C11CA6">
        <w:rPr>
          <w:rFonts w:asciiTheme="minorHAnsi" w:hAnsiTheme="minorHAnsi"/>
          <w:sz w:val="20"/>
          <w:szCs w:val="20"/>
          <w:lang w:val="en-CA"/>
        </w:rPr>
        <w:t xml:space="preserve">, </w:t>
      </w:r>
      <w:hyperlink r:id="rId6" w:history="1">
        <w:r w:rsidR="00F31AC3" w:rsidRPr="00C11CA6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  <w:lang w:val="en-CA"/>
          </w:rPr>
          <w:t>torrance.kirby@mcgill.ca</w:t>
        </w:r>
      </w:hyperlink>
    </w:p>
    <w:p w:rsidR="00FE740F" w:rsidRPr="00C11CA6" w:rsidRDefault="00FE740F" w:rsidP="00FE740F">
      <w:pPr>
        <w:ind w:firstLine="0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4230"/>
        <w:gridCol w:w="3600"/>
      </w:tblGrid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</w:rPr>
              <w:t>3 October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Paul Yachnin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Tomlinson Professor of Shakespeare Studies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McGill University</w:t>
            </w:r>
          </w:p>
          <w:p w:rsidR="0000791E" w:rsidRPr="00C11CA6" w:rsidRDefault="0000791E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4"/>
                <w:szCs w:val="4"/>
              </w:rPr>
            </w:pPr>
          </w:p>
        </w:tc>
        <w:tc>
          <w:tcPr>
            <w:tcW w:w="3600" w:type="dxa"/>
          </w:tcPr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Animal Dreams: Conversion</w:t>
            </w:r>
          </w:p>
          <w:p w:rsidR="00590D69" w:rsidRPr="00C11CA6" w:rsidRDefault="00590D69" w:rsidP="0092571E">
            <w:pPr>
              <w:ind w:firstLine="0"/>
              <w:rPr>
                <w:rFonts w:asciiTheme="minorHAnsi" w:hAnsiTheme="minorHAnsi"/>
                <w:b/>
                <w:color w:val="C00000"/>
                <w:szCs w:val="22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and Metamorphosis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10 October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Mark Vessey</w:t>
            </w:r>
          </w:p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 xml:space="preserve">Professor of English </w:t>
            </w:r>
            <w:r w:rsidR="00C331BC">
              <w:rPr>
                <w:rFonts w:asciiTheme="minorHAnsi" w:hAnsiTheme="minorHAnsi"/>
                <w:sz w:val="18"/>
                <w:szCs w:val="18"/>
              </w:rPr>
              <w:t xml:space="preserve">and Principal of Green College </w:t>
            </w:r>
            <w:r w:rsidRPr="00C11CA6">
              <w:rPr>
                <w:rFonts w:asciiTheme="minorHAnsi" w:hAnsiTheme="minorHAnsi"/>
                <w:sz w:val="18"/>
                <w:szCs w:val="18"/>
              </w:rPr>
              <w:t>University of British Columbia</w:t>
            </w:r>
          </w:p>
          <w:p w:rsidR="00590D69" w:rsidRPr="00C11CA6" w:rsidRDefault="00590D69" w:rsidP="0092571E">
            <w:pPr>
              <w:ind w:firstLine="0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  <w:tc>
          <w:tcPr>
            <w:tcW w:w="3600" w:type="dxa"/>
          </w:tcPr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Erasmus and the Conversion</w:t>
            </w:r>
            <w:r w:rsidRPr="00C11C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90D69" w:rsidRPr="00C11CA6" w:rsidRDefault="00590D69" w:rsidP="0092571E">
            <w:pPr>
              <w:ind w:firstLine="0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of Latin Letters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17 October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Iain Fenlon</w:t>
            </w:r>
          </w:p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Professor of Historical Musicology</w:t>
            </w:r>
          </w:p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King’s College, Cambridge University</w:t>
            </w:r>
          </w:p>
          <w:p w:rsidR="00590D69" w:rsidRPr="00C11CA6" w:rsidRDefault="00590D69" w:rsidP="0092571E">
            <w:pPr>
              <w:ind w:firstLine="0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600" w:type="dxa"/>
          </w:tcPr>
          <w:p w:rsidR="00590D69" w:rsidRPr="00C11CA6" w:rsidRDefault="002B30F7" w:rsidP="002B30F7">
            <w:pPr>
              <w:ind w:right="-90" w:firstLine="0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First Encounters: Music and Ritual </w:t>
            </w:r>
            <w:r w:rsidR="00590D69"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in 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Early Spanish America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24 October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Douglas Hedley</w:t>
            </w:r>
            <w:r w:rsidRPr="00C11CA6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Reader in Hermeneutics and Metaphysics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Clare College, Cambridge University</w:t>
            </w:r>
          </w:p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  <w:tc>
          <w:tcPr>
            <w:tcW w:w="3600" w:type="dxa"/>
          </w:tcPr>
          <w:p w:rsidR="00B0245D" w:rsidRDefault="00B0245D" w:rsidP="00B0245D">
            <w:pPr>
              <w:ind w:right="-360" w:firstLine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Reflection &amp;</w:t>
            </w:r>
            <w:r w:rsidR="00590D69"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Conversion: Neoplatonism </w:t>
            </w:r>
          </w:p>
          <w:p w:rsidR="00590D69" w:rsidRPr="00C11CA6" w:rsidRDefault="00590D69" w:rsidP="00B0245D">
            <w:pPr>
              <w:ind w:right="-360" w:firstLine="0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and early-modern</w:t>
            </w:r>
            <w:r w:rsidR="00130EB0"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Philosophy of Mind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31 October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Bronwen Wilson</w:t>
            </w:r>
          </w:p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Professor of Art History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  <w:lang w:val="en-CA"/>
              </w:rPr>
            </w:pPr>
            <w:r w:rsidRPr="00C11CA6">
              <w:rPr>
                <w:rFonts w:asciiTheme="minorHAnsi" w:hAnsiTheme="minorHAnsi"/>
                <w:sz w:val="18"/>
                <w:szCs w:val="18"/>
                <w:lang w:val="en-CA"/>
              </w:rPr>
              <w:t>University of East Anglia</w:t>
            </w:r>
          </w:p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  <w:tc>
          <w:tcPr>
            <w:tcW w:w="3600" w:type="dxa"/>
          </w:tcPr>
          <w:p w:rsidR="00B0245D" w:rsidRDefault="005D3884" w:rsidP="009875CC">
            <w:pPr>
              <w:ind w:right="-90" w:firstLine="0"/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>Moving</w:t>
            </w:r>
            <w:r w:rsidR="009875CC"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 xml:space="preserve"> Pictures: </w:t>
            </w:r>
            <w:r w:rsidR="002B30F7"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>S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 xml:space="preserve">ketchbook </w:t>
            </w:r>
            <w:r w:rsidR="002B30F7"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 xml:space="preserve">of a </w:t>
            </w:r>
          </w:p>
          <w:p w:rsidR="00590D69" w:rsidRPr="00C11CA6" w:rsidRDefault="009875CC" w:rsidP="009875CC">
            <w:pPr>
              <w:ind w:right="-90" w:firstLine="0"/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>j</w:t>
            </w:r>
            <w:r w:rsidR="005D3884"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 xml:space="preserve">ourney 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GB"/>
              </w:rPr>
              <w:t xml:space="preserve">from Vienna to Istanbul 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7 November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Sarah Beckwith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Professor of English and Theatre Studies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</w:rPr>
            </w:pPr>
            <w:r w:rsidRPr="00C11CA6">
              <w:rPr>
                <w:rFonts w:asciiTheme="minorHAnsi" w:hAnsiTheme="minorHAnsi"/>
                <w:sz w:val="18"/>
                <w:szCs w:val="18"/>
              </w:rPr>
              <w:t>Duke University</w:t>
            </w:r>
          </w:p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  <w:tc>
          <w:tcPr>
            <w:tcW w:w="3600" w:type="dxa"/>
          </w:tcPr>
          <w:p w:rsidR="00590D69" w:rsidRPr="00C11CA6" w:rsidRDefault="00767108" w:rsidP="0092571E">
            <w:pPr>
              <w:ind w:firstLine="0"/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Shake</w:t>
            </w:r>
            <w:r w:rsidR="0055558D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s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peare, Sacraments and Conversion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14 November</w:t>
            </w:r>
          </w:p>
        </w:tc>
        <w:tc>
          <w:tcPr>
            <w:tcW w:w="4230" w:type="dxa"/>
          </w:tcPr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Emidio Campi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color w:val="auto"/>
                <w:sz w:val="4"/>
                <w:szCs w:val="18"/>
              </w:rPr>
            </w:pPr>
            <w:r w:rsidRPr="00C11CA6">
              <w:rPr>
                <w:rFonts w:asciiTheme="minorHAnsi" w:hAnsiTheme="minorHAnsi"/>
                <w:color w:val="auto"/>
                <w:sz w:val="18"/>
                <w:szCs w:val="18"/>
              </w:rPr>
              <w:t>Professor of Church History Emeritus</w:t>
            </w:r>
          </w:p>
          <w:p w:rsidR="00C11CA6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color w:val="auto"/>
                <w:sz w:val="4"/>
                <w:szCs w:val="18"/>
              </w:rPr>
            </w:pPr>
            <w:r w:rsidRPr="00C11CA6">
              <w:rPr>
                <w:rFonts w:asciiTheme="minorHAnsi" w:hAnsiTheme="minorHAnsi"/>
                <w:color w:val="auto"/>
                <w:sz w:val="18"/>
                <w:szCs w:val="18"/>
              </w:rPr>
              <w:t>University of Zurich</w:t>
            </w:r>
          </w:p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4"/>
                <w:szCs w:val="4"/>
                <w:lang w:val="en-CA"/>
              </w:rPr>
            </w:pPr>
          </w:p>
        </w:tc>
        <w:tc>
          <w:tcPr>
            <w:tcW w:w="3600" w:type="dxa"/>
          </w:tcPr>
          <w:p w:rsidR="00590D69" w:rsidRPr="00C11CA6" w:rsidRDefault="005556FE" w:rsidP="00A7241A">
            <w:pPr>
              <w:ind w:right="-270" w:firstLine="0"/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The Italian convert: Marquis Galeazzo Caracciolo and the English Puritans</w:t>
            </w:r>
          </w:p>
        </w:tc>
      </w:tr>
      <w:tr w:rsidR="00590D69" w:rsidRPr="00C11CA6" w:rsidTr="00B0245D">
        <w:tc>
          <w:tcPr>
            <w:tcW w:w="1998" w:type="dxa"/>
          </w:tcPr>
          <w:p w:rsidR="00590D69" w:rsidRPr="00C11CA6" w:rsidRDefault="00590D69" w:rsidP="0092571E">
            <w:pPr>
              <w:ind w:firstLine="0"/>
              <w:jc w:val="both"/>
              <w:rPr>
                <w:rFonts w:asciiTheme="minorHAnsi" w:hAnsiTheme="minorHAnsi"/>
                <w:b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sz w:val="20"/>
                <w:szCs w:val="20"/>
                <w:lang w:val="en-CA"/>
              </w:rPr>
              <w:t>21 November</w:t>
            </w:r>
          </w:p>
        </w:tc>
        <w:tc>
          <w:tcPr>
            <w:tcW w:w="4230" w:type="dxa"/>
          </w:tcPr>
          <w:p w:rsidR="00C11CA6" w:rsidRPr="00C11CA6" w:rsidRDefault="00A028AA" w:rsidP="0092571E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Allan Greer</w:t>
            </w:r>
          </w:p>
          <w:p w:rsidR="00C11CA6" w:rsidRPr="00C11CA6" w:rsidRDefault="00A028AA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  <w:lang w:val="en-CA"/>
              </w:rPr>
            </w:pPr>
            <w:r w:rsidRPr="00C11CA6">
              <w:rPr>
                <w:rFonts w:asciiTheme="minorHAnsi" w:hAnsiTheme="minorHAnsi"/>
                <w:sz w:val="18"/>
                <w:szCs w:val="18"/>
                <w:lang w:val="en-CA"/>
              </w:rPr>
              <w:t>Professor of History and Canada Research</w:t>
            </w:r>
          </w:p>
          <w:p w:rsidR="00C11CA6" w:rsidRPr="00C11CA6" w:rsidRDefault="00A028AA" w:rsidP="0092571E">
            <w:pPr>
              <w:ind w:firstLine="0"/>
              <w:jc w:val="both"/>
              <w:rPr>
                <w:rFonts w:asciiTheme="minorHAnsi" w:hAnsiTheme="minorHAnsi"/>
                <w:sz w:val="4"/>
                <w:szCs w:val="18"/>
                <w:lang w:val="en-CA"/>
              </w:rPr>
            </w:pPr>
            <w:r w:rsidRPr="00C11CA6">
              <w:rPr>
                <w:rFonts w:asciiTheme="minorHAnsi" w:hAnsiTheme="minorHAnsi"/>
                <w:sz w:val="18"/>
                <w:szCs w:val="18"/>
                <w:lang w:val="en-CA"/>
              </w:rPr>
              <w:t>Chair in Colonial North America</w:t>
            </w:r>
          </w:p>
          <w:p w:rsidR="00A028AA" w:rsidRPr="00C11CA6" w:rsidRDefault="00C11CA6" w:rsidP="00A028AA">
            <w:pPr>
              <w:ind w:firstLine="0"/>
              <w:jc w:val="both"/>
              <w:rPr>
                <w:rFonts w:asciiTheme="minorHAnsi" w:hAnsiTheme="minorHAnsi"/>
                <w:b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M</w:t>
            </w:r>
            <w:r w:rsidR="00E67909">
              <w:rPr>
                <w:rFonts w:asciiTheme="minorHAnsi" w:hAnsiTheme="minorHAnsi"/>
                <w:sz w:val="18"/>
                <w:szCs w:val="18"/>
                <w:lang w:val="en-CA"/>
              </w:rPr>
              <w:t>c</w:t>
            </w:r>
            <w:r w:rsidR="00A028AA" w:rsidRPr="00C11CA6">
              <w:rPr>
                <w:rFonts w:asciiTheme="minorHAnsi" w:hAnsiTheme="minorHAnsi"/>
                <w:sz w:val="18"/>
                <w:szCs w:val="18"/>
                <w:lang w:val="en-CA"/>
              </w:rPr>
              <w:t>Gill University</w:t>
            </w:r>
          </w:p>
        </w:tc>
        <w:tc>
          <w:tcPr>
            <w:tcW w:w="3600" w:type="dxa"/>
          </w:tcPr>
          <w:p w:rsidR="00B0245D" w:rsidRDefault="00A028AA" w:rsidP="00C11CA6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 xml:space="preserve">Kateri Tekakwitha: the Mohawk </w:t>
            </w:r>
          </w:p>
          <w:p w:rsidR="00A028AA" w:rsidRPr="00C11CA6" w:rsidRDefault="00A028AA" w:rsidP="00C11CA6">
            <w:pPr>
              <w:ind w:firstLine="0"/>
              <w:jc w:val="both"/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</w:pP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 xml:space="preserve">who </w:t>
            </w:r>
            <w:r w:rsid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Co</w:t>
            </w:r>
            <w:r w:rsidRPr="00C11CA6">
              <w:rPr>
                <w:rFonts w:asciiTheme="minorHAnsi" w:hAnsiTheme="minorHAnsi"/>
                <w:b/>
                <w:color w:val="C00000"/>
                <w:sz w:val="20"/>
                <w:szCs w:val="20"/>
                <w:lang w:val="en-CA"/>
              </w:rPr>
              <w:t>nverted the Jesuits</w:t>
            </w:r>
          </w:p>
        </w:tc>
      </w:tr>
    </w:tbl>
    <w:p w:rsidR="00B13FB0" w:rsidRPr="00C11CA6" w:rsidRDefault="00B13FB0" w:rsidP="00C11CA6">
      <w:pPr>
        <w:ind w:firstLine="0"/>
        <w:jc w:val="both"/>
        <w:rPr>
          <w:rFonts w:ascii="Calibri" w:hAnsi="Calibri"/>
          <w:b/>
          <w:sz w:val="20"/>
          <w:szCs w:val="20"/>
        </w:rPr>
      </w:pPr>
    </w:p>
    <w:sectPr w:rsidR="00B13FB0" w:rsidRPr="00C11CA6" w:rsidSect="00C11CA6">
      <w:pgSz w:w="12240" w:h="15840" w:code="1"/>
      <w:pgMar w:top="432" w:right="1296" w:bottom="288" w:left="1296" w:header="0" w:footer="432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1367B"/>
    <w:rsid w:val="0000232B"/>
    <w:rsid w:val="0000791E"/>
    <w:rsid w:val="00023812"/>
    <w:rsid w:val="00067A87"/>
    <w:rsid w:val="000A40B4"/>
    <w:rsid w:val="000E4D9B"/>
    <w:rsid w:val="001114B5"/>
    <w:rsid w:val="00120977"/>
    <w:rsid w:val="00130EB0"/>
    <w:rsid w:val="001672A1"/>
    <w:rsid w:val="00172361"/>
    <w:rsid w:val="001D17DD"/>
    <w:rsid w:val="001D43AA"/>
    <w:rsid w:val="00231419"/>
    <w:rsid w:val="00250817"/>
    <w:rsid w:val="00266AF1"/>
    <w:rsid w:val="002B30F7"/>
    <w:rsid w:val="003601A8"/>
    <w:rsid w:val="00366138"/>
    <w:rsid w:val="00373BC9"/>
    <w:rsid w:val="00386BBF"/>
    <w:rsid w:val="003872F8"/>
    <w:rsid w:val="00394DAC"/>
    <w:rsid w:val="003A2F18"/>
    <w:rsid w:val="00412CFB"/>
    <w:rsid w:val="00423ADF"/>
    <w:rsid w:val="00437E68"/>
    <w:rsid w:val="00453FDD"/>
    <w:rsid w:val="00461DEB"/>
    <w:rsid w:val="00466810"/>
    <w:rsid w:val="004873B1"/>
    <w:rsid w:val="00497131"/>
    <w:rsid w:val="004D598D"/>
    <w:rsid w:val="004E27B6"/>
    <w:rsid w:val="00524FEF"/>
    <w:rsid w:val="00537441"/>
    <w:rsid w:val="0055558D"/>
    <w:rsid w:val="005556FE"/>
    <w:rsid w:val="00590D69"/>
    <w:rsid w:val="005A0216"/>
    <w:rsid w:val="005A63FB"/>
    <w:rsid w:val="005B4007"/>
    <w:rsid w:val="005D3884"/>
    <w:rsid w:val="005E05E3"/>
    <w:rsid w:val="00602C7A"/>
    <w:rsid w:val="00632DC2"/>
    <w:rsid w:val="006666E0"/>
    <w:rsid w:val="00675BAB"/>
    <w:rsid w:val="006A2DFA"/>
    <w:rsid w:val="006C00BE"/>
    <w:rsid w:val="006C7615"/>
    <w:rsid w:val="006D5A6A"/>
    <w:rsid w:val="006D5E8F"/>
    <w:rsid w:val="00704097"/>
    <w:rsid w:val="007044AE"/>
    <w:rsid w:val="0071401F"/>
    <w:rsid w:val="007201B4"/>
    <w:rsid w:val="007314E3"/>
    <w:rsid w:val="007346A1"/>
    <w:rsid w:val="007648D5"/>
    <w:rsid w:val="00767108"/>
    <w:rsid w:val="00791D74"/>
    <w:rsid w:val="00796287"/>
    <w:rsid w:val="007A3813"/>
    <w:rsid w:val="007A5148"/>
    <w:rsid w:val="008113CF"/>
    <w:rsid w:val="00812F22"/>
    <w:rsid w:val="00824559"/>
    <w:rsid w:val="00864FA4"/>
    <w:rsid w:val="008934E1"/>
    <w:rsid w:val="008A225E"/>
    <w:rsid w:val="008A27A8"/>
    <w:rsid w:val="008B6234"/>
    <w:rsid w:val="008E65F8"/>
    <w:rsid w:val="009313C8"/>
    <w:rsid w:val="00951CE9"/>
    <w:rsid w:val="009753A1"/>
    <w:rsid w:val="009875CC"/>
    <w:rsid w:val="009C631D"/>
    <w:rsid w:val="009D09FC"/>
    <w:rsid w:val="009E19FF"/>
    <w:rsid w:val="009E4AD0"/>
    <w:rsid w:val="00A028AA"/>
    <w:rsid w:val="00A4285A"/>
    <w:rsid w:val="00A438CB"/>
    <w:rsid w:val="00A65038"/>
    <w:rsid w:val="00A7241A"/>
    <w:rsid w:val="00AC3DB8"/>
    <w:rsid w:val="00B0245D"/>
    <w:rsid w:val="00B13FB0"/>
    <w:rsid w:val="00B20618"/>
    <w:rsid w:val="00B34302"/>
    <w:rsid w:val="00BD30BA"/>
    <w:rsid w:val="00BD783B"/>
    <w:rsid w:val="00BE07AF"/>
    <w:rsid w:val="00BF0DBB"/>
    <w:rsid w:val="00C11CA6"/>
    <w:rsid w:val="00C331BC"/>
    <w:rsid w:val="00C834B5"/>
    <w:rsid w:val="00CA1287"/>
    <w:rsid w:val="00CA55AE"/>
    <w:rsid w:val="00CB0649"/>
    <w:rsid w:val="00CC5960"/>
    <w:rsid w:val="00D150B2"/>
    <w:rsid w:val="00D213E8"/>
    <w:rsid w:val="00D9391E"/>
    <w:rsid w:val="00DC7B0E"/>
    <w:rsid w:val="00DD1131"/>
    <w:rsid w:val="00DE0F22"/>
    <w:rsid w:val="00DF47AE"/>
    <w:rsid w:val="00E2203C"/>
    <w:rsid w:val="00E307E1"/>
    <w:rsid w:val="00E3131E"/>
    <w:rsid w:val="00E41150"/>
    <w:rsid w:val="00E67909"/>
    <w:rsid w:val="00E85654"/>
    <w:rsid w:val="00EA1FB6"/>
    <w:rsid w:val="00EC141C"/>
    <w:rsid w:val="00EF6AFD"/>
    <w:rsid w:val="00F00106"/>
    <w:rsid w:val="00F1367B"/>
    <w:rsid w:val="00F31AC3"/>
    <w:rsid w:val="00F31D3E"/>
    <w:rsid w:val="00FB09F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kern w:val="28"/>
        <w:position w:val="6"/>
        <w:sz w:val="22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C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8113CF"/>
    <w:pPr>
      <w:widowControl/>
      <w:overflowPunct/>
      <w:autoSpaceDE/>
      <w:autoSpaceDN/>
      <w:adjustRightInd/>
      <w:spacing w:before="100" w:beforeAutospacing="1" w:after="100" w:afterAutospacing="1"/>
      <w:outlineLvl w:val="3"/>
    </w:pPr>
    <w:rPr>
      <w:rFonts w:eastAsiaTheme="minorEastAsia" w:cstheme="minorBidi"/>
      <w:b/>
      <w:bCs/>
      <w:color w:val="auto"/>
      <w:kern w:val="0"/>
      <w:position w:val="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link w:val="FootnoteChar"/>
    <w:autoRedefine/>
    <w:qFormat/>
    <w:rsid w:val="008113CF"/>
    <w:pPr>
      <w:spacing w:before="120"/>
    </w:pPr>
    <w:rPr>
      <w:sz w:val="20"/>
      <w:szCs w:val="22"/>
      <w:lang w:val="en-GB"/>
    </w:rPr>
  </w:style>
  <w:style w:type="character" w:customStyle="1" w:styleId="FootnoteChar">
    <w:name w:val="Footnote Char"/>
    <w:basedOn w:val="DefaultParagraphFont"/>
    <w:link w:val="Footnote"/>
    <w:rsid w:val="008113CF"/>
    <w:rPr>
      <w:rFonts w:ascii="Times New Roman" w:hAnsi="Times New Roman"/>
      <w:sz w:val="20"/>
      <w:szCs w:val="22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C141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NoSpacing">
    <w:name w:val="No Spacing"/>
    <w:aliases w:val="Footnote A,Footnote text"/>
    <w:next w:val="FootnoteText"/>
    <w:link w:val="NoSpacingChar"/>
    <w:uiPriority w:val="1"/>
    <w:qFormat/>
    <w:rsid w:val="008113CF"/>
    <w:pPr>
      <w:spacing w:before="80"/>
    </w:pPr>
    <w:rPr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A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AF1"/>
    <w:rPr>
      <w:rFonts w:ascii="Times New Roman" w:hAnsi="Times New Roman"/>
      <w:sz w:val="20"/>
      <w:szCs w:val="20"/>
      <w:lang w:val="en-GB"/>
    </w:rPr>
  </w:style>
  <w:style w:type="paragraph" w:customStyle="1" w:styleId="FootnoteCustom">
    <w:name w:val="Footnote Custom"/>
    <w:basedOn w:val="Footnote"/>
    <w:link w:val="FootnoteCustomChar"/>
    <w:qFormat/>
    <w:rsid w:val="008113CF"/>
    <w:pPr>
      <w:spacing w:before="0"/>
    </w:pPr>
    <w:rPr>
      <w:rFonts w:eastAsia="Calibri"/>
    </w:rPr>
  </w:style>
  <w:style w:type="character" w:customStyle="1" w:styleId="FootnoteCustomChar">
    <w:name w:val="Footnote Custom Char"/>
    <w:basedOn w:val="FootnoteChar"/>
    <w:link w:val="FootnoteCustom"/>
    <w:rsid w:val="008113CF"/>
    <w:rPr>
      <w:rFonts w:eastAsia="Calibri" w:cs="Times New Roman"/>
    </w:rPr>
  </w:style>
  <w:style w:type="paragraph" w:styleId="EnvelopeReturn">
    <w:name w:val="envelope return"/>
    <w:basedOn w:val="Normal"/>
    <w:uiPriority w:val="99"/>
    <w:semiHidden/>
    <w:unhideWhenUsed/>
    <w:rsid w:val="00EC141C"/>
    <w:rPr>
      <w:rFonts w:eastAsiaTheme="majorEastAsia" w:cstheme="majorBid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113CF"/>
    <w:rPr>
      <w:rFonts w:ascii="Times New Roman" w:eastAsiaTheme="minorEastAsia" w:hAnsi="Times New Roman" w:cstheme="minorBidi"/>
      <w:b/>
      <w:bCs/>
      <w:color w:val="auto"/>
      <w:kern w:val="0"/>
      <w:position w:val="0"/>
      <w:sz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113CF"/>
    <w:rPr>
      <w:i/>
      <w:iCs/>
    </w:rPr>
  </w:style>
  <w:style w:type="character" w:customStyle="1" w:styleId="NoSpacingChar">
    <w:name w:val="No Spacing Char"/>
    <w:aliases w:val="Footnote A Char,Footnote text Char"/>
    <w:basedOn w:val="DefaultParagraphFont"/>
    <w:link w:val="NoSpacing"/>
    <w:uiPriority w:val="1"/>
    <w:rsid w:val="008113CF"/>
    <w:rPr>
      <w:lang w:val="en-GB" w:eastAsia="de-DE"/>
    </w:rPr>
  </w:style>
  <w:style w:type="paragraph" w:styleId="NormalWeb">
    <w:name w:val="Normal (Web)"/>
    <w:basedOn w:val="Normal"/>
    <w:unhideWhenUsed/>
    <w:rsid w:val="00A4285A"/>
    <w:pPr>
      <w:widowControl/>
      <w:overflowPunct/>
      <w:autoSpaceDE/>
      <w:autoSpaceDN/>
      <w:adjustRightInd/>
      <w:spacing w:before="100" w:beforeAutospacing="1" w:after="100" w:afterAutospacing="1"/>
      <w:ind w:firstLine="0"/>
    </w:pPr>
    <w:rPr>
      <w:color w:val="auto"/>
      <w:kern w:val="0"/>
      <w:position w:val="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5A"/>
    <w:rPr>
      <w:rFonts w:ascii="Tahoma" w:hAnsi="Tahoma" w:cs="Tahoma"/>
      <w:sz w:val="16"/>
      <w:szCs w:val="16"/>
    </w:rPr>
  </w:style>
  <w:style w:type="character" w:customStyle="1" w:styleId="georgia">
    <w:name w:val="georgia"/>
    <w:basedOn w:val="DefaultParagraphFont"/>
    <w:rsid w:val="00A4285A"/>
  </w:style>
  <w:style w:type="character" w:styleId="Hyperlink">
    <w:name w:val="Hyperlink"/>
    <w:basedOn w:val="DefaultParagraphFont"/>
    <w:uiPriority w:val="99"/>
    <w:unhideWhenUsed/>
    <w:rsid w:val="00F31A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rance.kirby@mcgi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FA2C-FF35-4763-BF2B-DC6D1842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3706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Torrance Kirby</dc:creator>
  <cp:keywords/>
  <dc:description/>
  <cp:lastModifiedBy>Torrance Kirby</cp:lastModifiedBy>
  <cp:revision>26</cp:revision>
  <cp:lastPrinted>2012-03-02T13:55:00Z</cp:lastPrinted>
  <dcterms:created xsi:type="dcterms:W3CDTF">2011-12-31T17:27:00Z</dcterms:created>
  <dcterms:modified xsi:type="dcterms:W3CDTF">2012-03-29T21:24:00Z</dcterms:modified>
</cp:coreProperties>
</file>